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5C348552" w:rsidR="009E7EF6" w:rsidRPr="00C450D1"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22"/>
          <w:szCs w:val="22"/>
          <w:lang w:val="en-AU" w:bidi="ar-SA"/>
        </w:rPr>
      </w:pPr>
      <w:bookmarkStart w:id="0" w:name="InvestmentsCurrentMarketView"/>
      <w:r w:rsidRPr="00C450D1">
        <w:rPr>
          <w:rFonts w:asciiTheme="minorHAnsi" w:eastAsiaTheme="minorEastAsia" w:hAnsiTheme="minorHAnsi" w:cstheme="minorBidi"/>
          <w:iCs w:val="0"/>
          <w:caps w:val="0"/>
          <w:color w:val="414042" w:themeColor="text1"/>
          <w:sz w:val="22"/>
          <w:szCs w:val="22"/>
          <w:lang w:val="en-AU" w:bidi="ar-SA"/>
        </w:rPr>
        <w:t>Current Market View</w:t>
      </w:r>
    </w:p>
    <w:p w14:paraId="69DA8B77" w14:textId="5A246422" w:rsidR="001C4983" w:rsidRPr="00D44553" w:rsidRDefault="001C4983" w:rsidP="00912096">
      <w:pPr>
        <w:rPr>
          <w:rFonts w:asciiTheme="majorHAnsi" w:hAnsiTheme="majorHAnsi" w:cstheme="majorHAnsi"/>
          <w:b/>
          <w:bCs/>
          <w:sz w:val="24"/>
          <w:szCs w:val="24"/>
        </w:rPr>
      </w:pPr>
      <w:r w:rsidRPr="00D44553">
        <w:rPr>
          <w:rFonts w:asciiTheme="majorHAnsi" w:hAnsiTheme="majorHAnsi" w:cstheme="majorHAnsi"/>
          <w:b/>
          <w:bCs/>
          <w:sz w:val="24"/>
          <w:szCs w:val="24"/>
        </w:rPr>
        <w:t>Investment Markets</w:t>
      </w:r>
    </w:p>
    <w:p w14:paraId="2B5D34C2" w14:textId="12EA1B96" w:rsidR="00502D7A" w:rsidRPr="003E45EA" w:rsidRDefault="00502D7A" w:rsidP="00F40119">
      <w:pPr>
        <w:rPr>
          <w:rFonts w:asciiTheme="majorHAnsi" w:hAnsiTheme="majorHAnsi" w:cstheme="majorHAnsi"/>
          <w:b/>
          <w:bCs/>
        </w:rPr>
      </w:pPr>
      <w:r w:rsidRPr="003E45EA">
        <w:rPr>
          <w:rFonts w:asciiTheme="majorHAnsi" w:hAnsiTheme="majorHAnsi" w:cstheme="majorHAnsi"/>
          <w:b/>
          <w:bCs/>
        </w:rPr>
        <w:t>Global Markets</w:t>
      </w:r>
    </w:p>
    <w:p w14:paraId="4984115F" w14:textId="4EA51E5E" w:rsidR="00312DC5" w:rsidRPr="003E45EA" w:rsidRDefault="007C073A" w:rsidP="00312DC5">
      <w:pPr>
        <w:rPr>
          <w:rFonts w:asciiTheme="majorHAnsi" w:hAnsiTheme="majorHAnsi" w:cstheme="majorHAnsi"/>
          <w:b/>
          <w:bCs/>
          <w:color w:val="222222"/>
          <w:shd w:val="clear" w:color="auto" w:fill="FFFFFF"/>
        </w:rPr>
      </w:pPr>
      <w:r>
        <w:rPr>
          <w:rFonts w:asciiTheme="majorHAnsi" w:hAnsiTheme="majorHAnsi" w:cstheme="majorHAnsi"/>
          <w:color w:val="222222"/>
          <w:shd w:val="clear" w:color="auto" w:fill="FFFFFF"/>
        </w:rPr>
        <w:t>G</w:t>
      </w:r>
      <w:r w:rsidR="00312DC5" w:rsidRPr="003E45EA">
        <w:rPr>
          <w:rFonts w:asciiTheme="majorHAnsi" w:hAnsiTheme="majorHAnsi" w:cstheme="majorHAnsi"/>
          <w:color w:val="222222"/>
          <w:shd w:val="clear" w:color="auto" w:fill="FFFFFF"/>
        </w:rPr>
        <w:t xml:space="preserve">lobal markets </w:t>
      </w:r>
      <w:r w:rsidR="00AC683A">
        <w:rPr>
          <w:rFonts w:asciiTheme="majorHAnsi" w:hAnsiTheme="majorHAnsi" w:cstheme="majorHAnsi"/>
          <w:color w:val="222222"/>
          <w:shd w:val="clear" w:color="auto" w:fill="FFFFFF"/>
        </w:rPr>
        <w:t xml:space="preserve">continued the </w:t>
      </w:r>
      <w:r w:rsidR="00AC683A" w:rsidRPr="00AC683A">
        <w:rPr>
          <w:rFonts w:asciiTheme="majorHAnsi" w:hAnsiTheme="majorHAnsi" w:cstheme="majorHAnsi"/>
          <w:b/>
          <w:bCs/>
          <w:color w:val="222222"/>
          <w:shd w:val="clear" w:color="auto" w:fill="FFFFFF"/>
        </w:rPr>
        <w:t>positive trend</w:t>
      </w:r>
      <w:r w:rsidR="00AC683A">
        <w:rPr>
          <w:rFonts w:asciiTheme="majorHAnsi" w:hAnsiTheme="majorHAnsi" w:cstheme="majorHAnsi"/>
          <w:color w:val="222222"/>
          <w:shd w:val="clear" w:color="auto" w:fill="FFFFFF"/>
        </w:rPr>
        <w:t xml:space="preserve"> and lifted </w:t>
      </w:r>
      <w:r w:rsidR="00312DC5" w:rsidRPr="00AC683A">
        <w:rPr>
          <w:rFonts w:asciiTheme="majorHAnsi" w:hAnsiTheme="majorHAnsi" w:cstheme="majorHAnsi"/>
          <w:color w:val="222222"/>
          <w:shd w:val="clear" w:color="auto" w:fill="FFFFFF"/>
        </w:rPr>
        <w:t>higher f</w:t>
      </w:r>
      <w:r w:rsidR="00312DC5" w:rsidRPr="003E45EA">
        <w:rPr>
          <w:rFonts w:asciiTheme="majorHAnsi" w:hAnsiTheme="majorHAnsi" w:cstheme="majorHAnsi"/>
          <w:color w:val="222222"/>
          <w:shd w:val="clear" w:color="auto" w:fill="FFFFFF"/>
        </w:rPr>
        <w:t xml:space="preserve">or most developed regions over </w:t>
      </w:r>
      <w:r>
        <w:rPr>
          <w:rFonts w:asciiTheme="majorHAnsi" w:hAnsiTheme="majorHAnsi" w:cstheme="majorHAnsi"/>
          <w:color w:val="222222"/>
          <w:shd w:val="clear" w:color="auto" w:fill="FFFFFF"/>
        </w:rPr>
        <w:t>August</w:t>
      </w:r>
      <w:r w:rsidR="00312DC5" w:rsidRPr="003E45EA">
        <w:rPr>
          <w:rFonts w:asciiTheme="majorHAnsi" w:hAnsiTheme="majorHAnsi" w:cstheme="majorHAnsi"/>
          <w:color w:val="222222"/>
          <w:shd w:val="clear" w:color="auto" w:fill="FFFFFF"/>
        </w:rPr>
        <w:t xml:space="preserve"> 2025. Investors </w:t>
      </w:r>
      <w:r>
        <w:rPr>
          <w:rFonts w:asciiTheme="majorHAnsi" w:hAnsiTheme="majorHAnsi" w:cstheme="majorHAnsi"/>
          <w:color w:val="222222"/>
          <w:shd w:val="clear" w:color="auto" w:fill="FFFFFF"/>
        </w:rPr>
        <w:t xml:space="preserve">have discounted the inflation and interest rate impact for asset prices and continue to add to their </w:t>
      </w:r>
      <w:r w:rsidRPr="007C073A">
        <w:rPr>
          <w:rFonts w:asciiTheme="majorHAnsi" w:hAnsiTheme="majorHAnsi" w:cstheme="majorHAnsi"/>
          <w:b/>
          <w:bCs/>
          <w:color w:val="222222"/>
          <w:shd w:val="clear" w:color="auto" w:fill="FFFFFF"/>
        </w:rPr>
        <w:t>“risk-on”</w:t>
      </w:r>
      <w:r>
        <w:rPr>
          <w:rFonts w:asciiTheme="majorHAnsi" w:hAnsiTheme="majorHAnsi" w:cstheme="majorHAnsi"/>
          <w:color w:val="222222"/>
          <w:shd w:val="clear" w:color="auto" w:fill="FFFFFF"/>
        </w:rPr>
        <w:t xml:space="preserve"> positions. </w:t>
      </w:r>
      <w:r w:rsidR="00312DC5" w:rsidRPr="003E45EA">
        <w:rPr>
          <w:rFonts w:asciiTheme="majorHAnsi" w:hAnsiTheme="majorHAnsi" w:cstheme="majorHAnsi"/>
          <w:color w:val="222222"/>
          <w:shd w:val="clear" w:color="auto" w:fill="FFFFFF"/>
        </w:rPr>
        <w:t xml:space="preserve">The market appreciated the break in </w:t>
      </w:r>
      <w:r>
        <w:rPr>
          <w:rFonts w:asciiTheme="majorHAnsi" w:hAnsiTheme="majorHAnsi" w:cstheme="majorHAnsi"/>
          <w:color w:val="222222"/>
          <w:shd w:val="clear" w:color="auto" w:fill="FFFFFF"/>
        </w:rPr>
        <w:t>the</w:t>
      </w:r>
      <w:r w:rsidR="00312DC5" w:rsidRPr="003E45EA">
        <w:rPr>
          <w:rFonts w:asciiTheme="majorHAnsi" w:hAnsiTheme="majorHAnsi" w:cstheme="majorHAnsi"/>
          <w:color w:val="222222"/>
          <w:shd w:val="clear" w:color="auto" w:fill="FFFFFF"/>
        </w:rPr>
        <w:t xml:space="preserve"> tariff related announcements and resumed the </w:t>
      </w:r>
      <w:r w:rsidR="00AC683A" w:rsidRPr="00AC683A">
        <w:rPr>
          <w:rFonts w:asciiTheme="majorHAnsi" w:hAnsiTheme="majorHAnsi" w:cstheme="majorHAnsi"/>
          <w:b/>
          <w:bCs/>
          <w:color w:val="222222"/>
          <w:shd w:val="clear" w:color="auto" w:fill="FFFFFF"/>
        </w:rPr>
        <w:t>“buy the dip”</w:t>
      </w:r>
      <w:r w:rsidR="00AC683A">
        <w:rPr>
          <w:rFonts w:asciiTheme="majorHAnsi" w:hAnsiTheme="majorHAnsi" w:cstheme="majorHAnsi"/>
          <w:color w:val="222222"/>
          <w:shd w:val="clear" w:color="auto" w:fill="FFFFFF"/>
        </w:rPr>
        <w:t xml:space="preserve"> mentality of recent times</w:t>
      </w:r>
      <w:r w:rsidR="002D5B6B">
        <w:rPr>
          <w:rFonts w:asciiTheme="majorHAnsi" w:hAnsiTheme="majorHAnsi" w:cstheme="majorHAnsi"/>
          <w:color w:val="222222"/>
          <w:shd w:val="clear" w:color="auto" w:fill="FFFFFF"/>
        </w:rPr>
        <w:t xml:space="preserve">. </w:t>
      </w:r>
    </w:p>
    <w:p w14:paraId="374F6898" w14:textId="2ACF51DE" w:rsidR="00670AB6" w:rsidRPr="003E45EA" w:rsidRDefault="008E6863" w:rsidP="00312DC5">
      <w:pPr>
        <w:rPr>
          <w:rFonts w:asciiTheme="majorHAnsi" w:hAnsiTheme="majorHAnsi" w:cstheme="majorHAnsi"/>
          <w:b/>
          <w:bCs/>
          <w:color w:val="222222"/>
          <w:shd w:val="clear" w:color="auto" w:fill="FFFFFF"/>
        </w:rPr>
      </w:pPr>
      <w:r w:rsidRPr="008E6863">
        <w:rPr>
          <w:rFonts w:asciiTheme="majorHAnsi" w:hAnsiTheme="majorHAnsi" w:cstheme="majorHAnsi"/>
          <w:b/>
          <w:bCs/>
          <w:noProof/>
          <w:color w:val="222222"/>
          <w:shd w:val="clear" w:color="auto" w:fill="FFFFFF"/>
        </w:rPr>
        <w:drawing>
          <wp:inline distT="0" distB="0" distL="0" distR="0" wp14:anchorId="3A193C29" wp14:editId="5B8224EC">
            <wp:extent cx="5410200" cy="1409700"/>
            <wp:effectExtent l="0" t="0" r="0" b="0"/>
            <wp:docPr id="9446430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1409700"/>
                    </a:xfrm>
                    <a:prstGeom prst="rect">
                      <a:avLst/>
                    </a:prstGeom>
                    <a:noFill/>
                    <a:ln>
                      <a:noFill/>
                    </a:ln>
                  </pic:spPr>
                </pic:pic>
              </a:graphicData>
            </a:graphic>
          </wp:inline>
        </w:drawing>
      </w:r>
    </w:p>
    <w:p w14:paraId="6DF27012" w14:textId="314A79CE" w:rsidR="00312DC5" w:rsidRPr="003E45EA" w:rsidRDefault="00312DC5" w:rsidP="00312DC5">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 xml:space="preserve">The Federal Reserve Bank (the Fed) remains </w:t>
      </w:r>
      <w:r w:rsidR="008E6863">
        <w:rPr>
          <w:rFonts w:asciiTheme="majorHAnsi" w:hAnsiTheme="majorHAnsi" w:cstheme="majorHAnsi"/>
          <w:color w:val="222222"/>
          <w:shd w:val="clear" w:color="auto" w:fill="FFFFFF"/>
        </w:rPr>
        <w:t>focussed</w:t>
      </w:r>
      <w:r w:rsidRPr="003E45EA">
        <w:rPr>
          <w:rFonts w:asciiTheme="majorHAnsi" w:hAnsiTheme="majorHAnsi" w:cstheme="majorHAnsi"/>
          <w:color w:val="222222"/>
          <w:shd w:val="clear" w:color="auto" w:fill="FFFFFF"/>
        </w:rPr>
        <w:t xml:space="preserve"> of the inflation impact of the </w:t>
      </w:r>
      <w:r w:rsidR="008E6863" w:rsidRPr="003E45EA">
        <w:rPr>
          <w:rFonts w:asciiTheme="majorHAnsi" w:hAnsiTheme="majorHAnsi" w:cstheme="majorHAnsi"/>
          <w:color w:val="222222"/>
          <w:shd w:val="clear" w:color="auto" w:fill="FFFFFF"/>
        </w:rPr>
        <w:t>tariffs; however,</w:t>
      </w:r>
      <w:r w:rsidR="008E6863">
        <w:rPr>
          <w:rFonts w:asciiTheme="majorHAnsi" w:hAnsiTheme="majorHAnsi" w:cstheme="majorHAnsi"/>
          <w:color w:val="222222"/>
          <w:shd w:val="clear" w:color="auto" w:fill="FFFFFF"/>
        </w:rPr>
        <w:t xml:space="preserve"> the economy is doing well with limited impact on inflation from the introduction of the US tariffs experienced to date.</w:t>
      </w:r>
      <w:r w:rsidRPr="003E45EA">
        <w:rPr>
          <w:rFonts w:asciiTheme="majorHAnsi" w:hAnsiTheme="majorHAnsi" w:cstheme="majorHAnsi"/>
          <w:color w:val="222222"/>
          <w:shd w:val="clear" w:color="auto" w:fill="FFFFFF"/>
        </w:rPr>
        <w:t xml:space="preserve"> </w:t>
      </w:r>
    </w:p>
    <w:p w14:paraId="246B1CF6" w14:textId="0D6B8A08" w:rsidR="00001072" w:rsidRPr="003E45EA" w:rsidRDefault="00B76A9F" w:rsidP="00312DC5">
      <w:pPr>
        <w:rPr>
          <w:rFonts w:asciiTheme="majorHAnsi" w:hAnsiTheme="majorHAnsi" w:cstheme="majorHAnsi"/>
          <w:b/>
          <w:bCs/>
          <w:color w:val="222222"/>
          <w:shd w:val="clear" w:color="auto" w:fill="FFFFFF"/>
        </w:rPr>
      </w:pPr>
      <w:r w:rsidRPr="003E45EA">
        <w:rPr>
          <w:rFonts w:asciiTheme="majorHAnsi" w:hAnsiTheme="majorHAnsi" w:cstheme="majorHAnsi"/>
          <w:b/>
          <w:bCs/>
          <w:color w:val="222222"/>
          <w:shd w:val="clear" w:color="auto" w:fill="FFFFFF"/>
        </w:rPr>
        <w:t xml:space="preserve">Global </w:t>
      </w:r>
      <w:r w:rsidR="00001072" w:rsidRPr="003E45EA">
        <w:rPr>
          <w:rFonts w:asciiTheme="majorHAnsi" w:hAnsiTheme="majorHAnsi" w:cstheme="majorHAnsi"/>
          <w:b/>
          <w:bCs/>
          <w:color w:val="222222"/>
          <w:shd w:val="clear" w:color="auto" w:fill="FFFFFF"/>
        </w:rPr>
        <w:t>Share Markets</w:t>
      </w:r>
    </w:p>
    <w:p w14:paraId="5EFF238A" w14:textId="724D695C" w:rsidR="00DA0DD3" w:rsidRPr="003E45EA" w:rsidRDefault="00803508" w:rsidP="00F40119">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T</w:t>
      </w:r>
      <w:r w:rsidR="004B3368" w:rsidRPr="003E45EA">
        <w:rPr>
          <w:rFonts w:asciiTheme="majorHAnsi" w:hAnsiTheme="majorHAnsi" w:cstheme="majorHAnsi"/>
          <w:color w:val="222222"/>
          <w:shd w:val="clear" w:color="auto" w:fill="FFFFFF"/>
        </w:rPr>
        <w:t xml:space="preserve">he </w:t>
      </w:r>
      <w:r w:rsidR="004B32E4" w:rsidRPr="003E45EA">
        <w:rPr>
          <w:rFonts w:asciiTheme="majorHAnsi" w:hAnsiTheme="majorHAnsi" w:cstheme="majorHAnsi"/>
          <w:color w:val="222222"/>
          <w:shd w:val="clear" w:color="auto" w:fill="FFFFFF"/>
        </w:rPr>
        <w:t>US</w:t>
      </w:r>
      <w:r w:rsidR="004B3368" w:rsidRPr="003E45EA">
        <w:rPr>
          <w:rFonts w:asciiTheme="majorHAnsi" w:hAnsiTheme="majorHAnsi" w:cstheme="majorHAnsi"/>
          <w:color w:val="222222"/>
          <w:shd w:val="clear" w:color="auto" w:fill="FFFFFF"/>
        </w:rPr>
        <w:t xml:space="preserve"> share markets </w:t>
      </w:r>
      <w:r w:rsidR="008E6863">
        <w:rPr>
          <w:rFonts w:asciiTheme="majorHAnsi" w:hAnsiTheme="majorHAnsi" w:cstheme="majorHAnsi"/>
          <w:color w:val="222222"/>
          <w:shd w:val="clear" w:color="auto" w:fill="FFFFFF"/>
        </w:rPr>
        <w:t xml:space="preserve">are factoring in a </w:t>
      </w:r>
      <w:r w:rsidR="006C77B4">
        <w:rPr>
          <w:rFonts w:asciiTheme="majorHAnsi" w:hAnsiTheme="majorHAnsi" w:cstheme="majorHAnsi"/>
          <w:color w:val="222222"/>
          <w:shd w:val="clear" w:color="auto" w:fill="FFFFFF"/>
        </w:rPr>
        <w:t>25-basis</w:t>
      </w:r>
      <w:r w:rsidR="008E6863">
        <w:rPr>
          <w:rFonts w:asciiTheme="majorHAnsi" w:hAnsiTheme="majorHAnsi" w:cstheme="majorHAnsi"/>
          <w:color w:val="222222"/>
          <w:shd w:val="clear" w:color="auto" w:fill="FFFFFF"/>
        </w:rPr>
        <w:t xml:space="preserve"> point cut in the Federal Funds target cash rate for the upcoming FOMC meeting due to start 16</w:t>
      </w:r>
      <w:r w:rsidR="008E6863" w:rsidRPr="008E6863">
        <w:rPr>
          <w:rFonts w:asciiTheme="majorHAnsi" w:hAnsiTheme="majorHAnsi" w:cstheme="majorHAnsi"/>
          <w:color w:val="222222"/>
          <w:shd w:val="clear" w:color="auto" w:fill="FFFFFF"/>
          <w:vertAlign w:val="superscript"/>
        </w:rPr>
        <w:t>th</w:t>
      </w:r>
      <w:r w:rsidR="008E6863">
        <w:rPr>
          <w:rFonts w:asciiTheme="majorHAnsi" w:hAnsiTheme="majorHAnsi" w:cstheme="majorHAnsi"/>
          <w:color w:val="222222"/>
          <w:shd w:val="clear" w:color="auto" w:fill="FFFFFF"/>
        </w:rPr>
        <w:t xml:space="preserve"> / 17</w:t>
      </w:r>
      <w:r w:rsidR="008E6863" w:rsidRPr="008E6863">
        <w:rPr>
          <w:rFonts w:asciiTheme="majorHAnsi" w:hAnsiTheme="majorHAnsi" w:cstheme="majorHAnsi"/>
          <w:color w:val="222222"/>
          <w:shd w:val="clear" w:color="auto" w:fill="FFFFFF"/>
          <w:vertAlign w:val="superscript"/>
        </w:rPr>
        <w:t>th</w:t>
      </w:r>
      <w:r w:rsidR="008E6863">
        <w:rPr>
          <w:rFonts w:asciiTheme="majorHAnsi" w:hAnsiTheme="majorHAnsi" w:cstheme="majorHAnsi"/>
          <w:color w:val="222222"/>
          <w:shd w:val="clear" w:color="auto" w:fill="FFFFFF"/>
        </w:rPr>
        <w:t xml:space="preserve"> September 2025.</w:t>
      </w:r>
      <w:r w:rsidR="00DA0DD3" w:rsidRPr="003E45EA">
        <w:rPr>
          <w:rFonts w:asciiTheme="majorHAnsi" w:hAnsiTheme="majorHAnsi" w:cstheme="majorHAnsi"/>
          <w:color w:val="222222"/>
          <w:shd w:val="clear" w:color="auto" w:fill="FFFFFF"/>
        </w:rPr>
        <w:t xml:space="preserve"> The </w:t>
      </w:r>
      <w:r w:rsidR="006C77B4">
        <w:rPr>
          <w:rFonts w:asciiTheme="majorHAnsi" w:hAnsiTheme="majorHAnsi" w:cstheme="majorHAnsi"/>
          <w:color w:val="222222"/>
          <w:shd w:val="clear" w:color="auto" w:fill="FFFFFF"/>
        </w:rPr>
        <w:t>Global</w:t>
      </w:r>
      <w:r w:rsidR="003E45EA" w:rsidRPr="003E45EA">
        <w:rPr>
          <w:rFonts w:asciiTheme="majorHAnsi" w:hAnsiTheme="majorHAnsi" w:cstheme="majorHAnsi"/>
          <w:color w:val="222222"/>
          <w:shd w:val="clear" w:color="auto" w:fill="FFFFFF"/>
        </w:rPr>
        <w:t xml:space="preserve"> Markets </w:t>
      </w:r>
      <w:r w:rsidR="00963C05">
        <w:rPr>
          <w:rFonts w:asciiTheme="majorHAnsi" w:hAnsiTheme="majorHAnsi" w:cstheme="majorHAnsi"/>
          <w:color w:val="222222"/>
          <w:shd w:val="clear" w:color="auto" w:fill="FFFFFF"/>
        </w:rPr>
        <w:t xml:space="preserve"> </w:t>
      </w:r>
      <w:r w:rsidR="006C77B4">
        <w:rPr>
          <w:rFonts w:asciiTheme="majorHAnsi" w:hAnsiTheme="majorHAnsi" w:cstheme="majorHAnsi"/>
          <w:color w:val="222222"/>
          <w:shd w:val="clear" w:color="auto" w:fill="FFFFFF"/>
        </w:rPr>
        <w:t>were mostly positive over August 2025:</w:t>
      </w:r>
      <w:r w:rsidR="00DA0DD3" w:rsidRPr="003E45EA">
        <w:rPr>
          <w:rFonts w:asciiTheme="majorHAnsi" w:hAnsiTheme="majorHAnsi" w:cstheme="majorHAnsi"/>
          <w:color w:val="222222"/>
          <w:shd w:val="clear" w:color="auto" w:fill="FFFFFF"/>
        </w:rPr>
        <w:t xml:space="preserve"> </w:t>
      </w:r>
    </w:p>
    <w:p w14:paraId="528FD475" w14:textId="0259D31B" w:rsidR="005E7D1C" w:rsidRDefault="006C77B4" w:rsidP="00F40119">
      <w:pPr>
        <w:rPr>
          <w:rFonts w:asciiTheme="majorHAnsi" w:hAnsiTheme="majorHAnsi" w:cstheme="majorHAnsi"/>
          <w:color w:val="222222"/>
          <w:shd w:val="clear" w:color="auto" w:fill="FFFFFF"/>
        </w:rPr>
      </w:pPr>
      <w:r w:rsidRPr="006C77B4">
        <w:rPr>
          <w:rFonts w:asciiTheme="majorHAnsi" w:hAnsiTheme="majorHAnsi" w:cstheme="majorHAnsi"/>
          <w:noProof/>
          <w:color w:val="222222"/>
          <w:shd w:val="clear" w:color="auto" w:fill="FFFFFF"/>
        </w:rPr>
        <w:drawing>
          <wp:inline distT="0" distB="0" distL="0" distR="0" wp14:anchorId="2FF9A1FF" wp14:editId="4158AFB7">
            <wp:extent cx="3933825" cy="2009775"/>
            <wp:effectExtent l="0" t="0" r="9525" b="9525"/>
            <wp:docPr id="1484659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2009775"/>
                    </a:xfrm>
                    <a:prstGeom prst="rect">
                      <a:avLst/>
                    </a:prstGeom>
                    <a:noFill/>
                    <a:ln>
                      <a:noFill/>
                    </a:ln>
                  </pic:spPr>
                </pic:pic>
              </a:graphicData>
            </a:graphic>
          </wp:inline>
        </w:drawing>
      </w:r>
    </w:p>
    <w:p w14:paraId="055BC357" w14:textId="678D0997" w:rsidR="00193B6F" w:rsidRPr="003E45EA" w:rsidRDefault="00193B6F" w:rsidP="00F40119">
      <w:pPr>
        <w:rPr>
          <w:rFonts w:asciiTheme="majorHAnsi" w:hAnsiTheme="majorHAnsi" w:cstheme="majorHAnsi"/>
          <w:color w:val="222222"/>
          <w:shd w:val="clear" w:color="auto" w:fill="FFFFFF"/>
        </w:rPr>
      </w:pPr>
      <w:r w:rsidRPr="00193B6F">
        <w:rPr>
          <w:rFonts w:asciiTheme="majorHAnsi" w:hAnsiTheme="majorHAnsi" w:cstheme="majorHAnsi"/>
          <w:b/>
          <w:bCs/>
          <w:color w:val="222222"/>
          <w:shd w:val="clear" w:color="auto" w:fill="FFFFFF"/>
        </w:rPr>
        <w:t>Data Source:</w:t>
      </w:r>
      <w:r w:rsidRPr="00193B6F">
        <w:rPr>
          <w:rFonts w:asciiTheme="majorHAnsi" w:hAnsiTheme="majorHAnsi" w:cstheme="majorHAnsi"/>
          <w:color w:val="222222"/>
          <w:shd w:val="clear" w:color="auto" w:fill="FFFFFF"/>
        </w:rPr>
        <w:t xml:space="preserve"> Lonsec as of 31st </w:t>
      </w:r>
      <w:r w:rsidR="006C77B4">
        <w:rPr>
          <w:rFonts w:asciiTheme="majorHAnsi" w:hAnsiTheme="majorHAnsi" w:cstheme="majorHAnsi"/>
          <w:color w:val="222222"/>
          <w:shd w:val="clear" w:color="auto" w:fill="FFFFFF"/>
        </w:rPr>
        <w:t>August</w:t>
      </w:r>
      <w:r w:rsidRPr="00193B6F">
        <w:rPr>
          <w:rFonts w:asciiTheme="majorHAnsi" w:hAnsiTheme="majorHAnsi" w:cstheme="majorHAnsi"/>
          <w:color w:val="222222"/>
          <w:shd w:val="clear" w:color="auto" w:fill="FFFFFF"/>
        </w:rPr>
        <w:t xml:space="preserve"> 2025</w:t>
      </w:r>
      <w:r>
        <w:rPr>
          <w:rFonts w:asciiTheme="majorHAnsi" w:hAnsiTheme="majorHAnsi" w:cstheme="majorHAnsi"/>
          <w:color w:val="222222"/>
          <w:shd w:val="clear" w:color="auto" w:fill="FFFFFF"/>
        </w:rPr>
        <w:t>.</w:t>
      </w:r>
    </w:p>
    <w:p w14:paraId="7265C274" w14:textId="6DE1F785" w:rsidR="00BB1A58" w:rsidRPr="003E45EA" w:rsidRDefault="00BB1A58" w:rsidP="00BB1A58">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lastRenderedPageBreak/>
        <w:t xml:space="preserve">While geopolitical tensions simmered and the US tariff policy </w:t>
      </w:r>
      <w:r w:rsidR="006D7FCB" w:rsidRPr="003E45EA">
        <w:rPr>
          <w:rFonts w:asciiTheme="majorHAnsi" w:hAnsiTheme="majorHAnsi" w:cstheme="majorHAnsi"/>
          <w:color w:val="222222"/>
          <w:shd w:val="clear" w:color="auto" w:fill="FFFFFF"/>
        </w:rPr>
        <w:t xml:space="preserve">extension </w:t>
      </w:r>
      <w:r w:rsidR="00E36474">
        <w:rPr>
          <w:rFonts w:asciiTheme="majorHAnsi" w:hAnsiTheme="majorHAnsi" w:cstheme="majorHAnsi"/>
          <w:color w:val="222222"/>
          <w:shd w:val="clear" w:color="auto" w:fill="FFFFFF"/>
        </w:rPr>
        <w:t xml:space="preserve">for China until the </w:t>
      </w:r>
      <w:r w:rsidR="00E23A12">
        <w:rPr>
          <w:rFonts w:asciiTheme="majorHAnsi" w:hAnsiTheme="majorHAnsi" w:cstheme="majorHAnsi"/>
          <w:color w:val="222222"/>
          <w:shd w:val="clear" w:color="auto" w:fill="FFFFFF"/>
        </w:rPr>
        <w:t>10</w:t>
      </w:r>
      <w:r w:rsidR="00E23A12" w:rsidRPr="00E36474">
        <w:rPr>
          <w:rFonts w:asciiTheme="majorHAnsi" w:hAnsiTheme="majorHAnsi" w:cstheme="majorHAnsi"/>
          <w:color w:val="222222"/>
          <w:shd w:val="clear" w:color="auto" w:fill="FFFFFF"/>
          <w:vertAlign w:val="superscript"/>
        </w:rPr>
        <w:t>th of</w:t>
      </w:r>
      <w:r w:rsidR="00E36474">
        <w:rPr>
          <w:rFonts w:asciiTheme="majorHAnsi" w:hAnsiTheme="majorHAnsi" w:cstheme="majorHAnsi"/>
          <w:color w:val="222222"/>
          <w:shd w:val="clear" w:color="auto" w:fill="FFFFFF"/>
        </w:rPr>
        <w:t xml:space="preserve"> November 2025 </w:t>
      </w:r>
      <w:r w:rsidRPr="003E45EA">
        <w:rPr>
          <w:rFonts w:asciiTheme="majorHAnsi" w:hAnsiTheme="majorHAnsi" w:cstheme="majorHAnsi"/>
          <w:color w:val="222222"/>
          <w:shd w:val="clear" w:color="auto" w:fill="FFFFFF"/>
        </w:rPr>
        <w:t xml:space="preserve">offered a temporary reprieve, economic observers kept a close eye on the performance of other global markets. Europe faced its own set of challenges </w:t>
      </w:r>
      <w:r w:rsidR="006D7FCB" w:rsidRPr="003E45EA">
        <w:rPr>
          <w:rFonts w:asciiTheme="majorHAnsi" w:hAnsiTheme="majorHAnsi" w:cstheme="majorHAnsi"/>
          <w:color w:val="222222"/>
          <w:shd w:val="clear" w:color="auto" w:fill="FFFFFF"/>
        </w:rPr>
        <w:t xml:space="preserve">as the EU Commission continued to negotiate lower levy rates with the US. </w:t>
      </w:r>
      <w:r w:rsidRPr="003E45EA">
        <w:rPr>
          <w:rFonts w:asciiTheme="majorHAnsi" w:hAnsiTheme="majorHAnsi" w:cstheme="majorHAnsi"/>
          <w:color w:val="222222"/>
          <w:shd w:val="clear" w:color="auto" w:fill="FFFFFF"/>
        </w:rPr>
        <w:t xml:space="preserve">Meanwhile, Asian markets exhibit resilience, continuing to </w:t>
      </w:r>
      <w:r w:rsidR="00526311" w:rsidRPr="003E45EA">
        <w:rPr>
          <w:rFonts w:asciiTheme="majorHAnsi" w:hAnsiTheme="majorHAnsi" w:cstheme="majorHAnsi"/>
          <w:color w:val="222222"/>
          <w:shd w:val="clear" w:color="auto" w:fill="FFFFFF"/>
        </w:rPr>
        <w:t>be shaped by trade tensions, currency fluctuations, and evolving growth models. The main player, China is showing signs of stabilisation, still held back by the property sector, which is improving slowly however, consumption is showing signs of growth. Japan faces headwinds with inflation and interest rates rising however, domestic demand is holding up.</w:t>
      </w:r>
    </w:p>
    <w:p w14:paraId="1C05950A" w14:textId="63A0ED91" w:rsidR="00BB1A58" w:rsidRPr="003E45EA" w:rsidRDefault="00BB1A58" w:rsidP="00BB1A58">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 xml:space="preserve">In the commodities sector, oil prices </w:t>
      </w:r>
      <w:r w:rsidR="00DB6C2C">
        <w:rPr>
          <w:rFonts w:asciiTheme="majorHAnsi" w:hAnsiTheme="majorHAnsi" w:cstheme="majorHAnsi"/>
          <w:color w:val="222222"/>
          <w:shd w:val="clear" w:color="auto" w:fill="FFFFFF"/>
        </w:rPr>
        <w:t>softened</w:t>
      </w:r>
      <w:r w:rsidRPr="003E45EA">
        <w:rPr>
          <w:rFonts w:asciiTheme="majorHAnsi" w:hAnsiTheme="majorHAnsi" w:cstheme="majorHAnsi"/>
          <w:color w:val="222222"/>
          <w:shd w:val="clear" w:color="auto" w:fill="FFFFFF"/>
        </w:rPr>
        <w:t xml:space="preserve"> </w:t>
      </w:r>
      <w:r w:rsidR="00DB6C2C">
        <w:rPr>
          <w:rFonts w:asciiTheme="majorHAnsi" w:hAnsiTheme="majorHAnsi" w:cstheme="majorHAnsi"/>
          <w:color w:val="222222"/>
          <w:shd w:val="clear" w:color="auto" w:fill="FFFFFF"/>
        </w:rPr>
        <w:t xml:space="preserve">easing (-7.65%) </w:t>
      </w:r>
      <w:r w:rsidR="00B951E5">
        <w:rPr>
          <w:rFonts w:asciiTheme="majorHAnsi" w:hAnsiTheme="majorHAnsi" w:cstheme="majorHAnsi"/>
          <w:color w:val="222222"/>
          <w:shd w:val="clear" w:color="auto" w:fill="FFFFFF"/>
        </w:rPr>
        <w:t>i</w:t>
      </w:r>
      <w:r w:rsidR="00916971" w:rsidRPr="003E45EA">
        <w:rPr>
          <w:rFonts w:asciiTheme="majorHAnsi" w:hAnsiTheme="majorHAnsi" w:cstheme="majorHAnsi"/>
          <w:color w:val="222222"/>
          <w:shd w:val="clear" w:color="auto" w:fill="FFFFFF"/>
        </w:rPr>
        <w:t xml:space="preserve">n </w:t>
      </w:r>
      <w:r w:rsidR="00DB6C2C">
        <w:rPr>
          <w:rFonts w:asciiTheme="majorHAnsi" w:hAnsiTheme="majorHAnsi" w:cstheme="majorHAnsi"/>
          <w:color w:val="222222"/>
          <w:shd w:val="clear" w:color="auto" w:fill="FFFFFF"/>
        </w:rPr>
        <w:t>August</w:t>
      </w:r>
      <w:r w:rsidR="00916971" w:rsidRPr="003E45EA">
        <w:rPr>
          <w:rFonts w:asciiTheme="majorHAnsi" w:hAnsiTheme="majorHAnsi" w:cstheme="majorHAnsi"/>
          <w:color w:val="222222"/>
          <w:shd w:val="clear" w:color="auto" w:fill="FFFFFF"/>
        </w:rPr>
        <w:t xml:space="preserve"> 2025 </w:t>
      </w:r>
      <w:r w:rsidR="00B951E5">
        <w:rPr>
          <w:rFonts w:asciiTheme="majorHAnsi" w:hAnsiTheme="majorHAnsi" w:cstheme="majorHAnsi"/>
          <w:color w:val="222222"/>
          <w:shd w:val="clear" w:color="auto" w:fill="FFFFFF"/>
        </w:rPr>
        <w:t>to close at US$</w:t>
      </w:r>
      <w:r w:rsidR="00DB6C2C">
        <w:rPr>
          <w:rFonts w:asciiTheme="majorHAnsi" w:hAnsiTheme="majorHAnsi" w:cstheme="majorHAnsi"/>
          <w:color w:val="222222"/>
          <w:shd w:val="clear" w:color="auto" w:fill="FFFFFF"/>
        </w:rPr>
        <w:t>63.96</w:t>
      </w:r>
      <w:r w:rsidR="00B951E5">
        <w:rPr>
          <w:rFonts w:asciiTheme="majorHAnsi" w:hAnsiTheme="majorHAnsi" w:cstheme="majorHAnsi"/>
          <w:color w:val="222222"/>
          <w:shd w:val="clear" w:color="auto" w:fill="FFFFFF"/>
        </w:rPr>
        <w:t xml:space="preserve"> </w:t>
      </w:r>
      <w:r w:rsidR="00DB6C2C">
        <w:rPr>
          <w:rFonts w:asciiTheme="majorHAnsi" w:hAnsiTheme="majorHAnsi" w:cstheme="majorHAnsi"/>
          <w:color w:val="222222"/>
          <w:shd w:val="clear" w:color="auto" w:fill="FFFFFF"/>
        </w:rPr>
        <w:t xml:space="preserve">despite the </w:t>
      </w:r>
      <w:r w:rsidRPr="003E45EA">
        <w:rPr>
          <w:rFonts w:asciiTheme="majorHAnsi" w:hAnsiTheme="majorHAnsi" w:cstheme="majorHAnsi"/>
          <w:color w:val="222222"/>
          <w:shd w:val="clear" w:color="auto" w:fill="FFFFFF"/>
        </w:rPr>
        <w:t xml:space="preserve">instability in the Middle East, amplifying inflationary fears across the globe. Gold, as expected, became </w:t>
      </w:r>
      <w:r w:rsidR="00390B93" w:rsidRPr="003E45EA">
        <w:rPr>
          <w:rFonts w:asciiTheme="majorHAnsi" w:hAnsiTheme="majorHAnsi" w:cstheme="majorHAnsi"/>
          <w:color w:val="222222"/>
          <w:shd w:val="clear" w:color="auto" w:fill="FFFFFF"/>
        </w:rPr>
        <w:t>a haven</w:t>
      </w:r>
      <w:r w:rsidRPr="003E45EA">
        <w:rPr>
          <w:rFonts w:asciiTheme="majorHAnsi" w:hAnsiTheme="majorHAnsi" w:cstheme="majorHAnsi"/>
          <w:color w:val="222222"/>
          <w:shd w:val="clear" w:color="auto" w:fill="FFFFFF"/>
        </w:rPr>
        <w:t xml:space="preserve"> for investors looking to hedge against volatility, with prices </w:t>
      </w:r>
      <w:r w:rsidR="00DB6C2C">
        <w:rPr>
          <w:rFonts w:asciiTheme="majorHAnsi" w:hAnsiTheme="majorHAnsi" w:cstheme="majorHAnsi"/>
          <w:color w:val="222222"/>
          <w:shd w:val="clear" w:color="auto" w:fill="FFFFFF"/>
        </w:rPr>
        <w:t>surging higher</w:t>
      </w:r>
      <w:r w:rsidRPr="003E45EA">
        <w:rPr>
          <w:rFonts w:asciiTheme="majorHAnsi" w:hAnsiTheme="majorHAnsi" w:cstheme="majorHAnsi"/>
          <w:color w:val="222222"/>
          <w:shd w:val="clear" w:color="auto" w:fill="FFFFFF"/>
        </w:rPr>
        <w:t xml:space="preserve"> during the month</w:t>
      </w:r>
      <w:r w:rsidR="00916971" w:rsidRPr="003E45EA">
        <w:rPr>
          <w:rFonts w:asciiTheme="majorHAnsi" w:hAnsiTheme="majorHAnsi" w:cstheme="majorHAnsi"/>
          <w:color w:val="222222"/>
          <w:shd w:val="clear" w:color="auto" w:fill="FFFFFF"/>
        </w:rPr>
        <w:t xml:space="preserve"> to close at USD 3,</w:t>
      </w:r>
      <w:r w:rsidR="00DB6C2C">
        <w:rPr>
          <w:rFonts w:asciiTheme="majorHAnsi" w:hAnsiTheme="majorHAnsi" w:cstheme="majorHAnsi"/>
          <w:color w:val="222222"/>
          <w:shd w:val="clear" w:color="auto" w:fill="FFFFFF"/>
        </w:rPr>
        <w:t>450</w:t>
      </w:r>
      <w:r w:rsidR="00916971" w:rsidRPr="003E45EA">
        <w:rPr>
          <w:rFonts w:asciiTheme="majorHAnsi" w:hAnsiTheme="majorHAnsi" w:cstheme="majorHAnsi"/>
          <w:color w:val="222222"/>
          <w:shd w:val="clear" w:color="auto" w:fill="FFFFFF"/>
        </w:rPr>
        <w:t>.</w:t>
      </w:r>
      <w:r w:rsidR="00DB6C2C">
        <w:rPr>
          <w:rFonts w:asciiTheme="majorHAnsi" w:hAnsiTheme="majorHAnsi" w:cstheme="majorHAnsi"/>
          <w:color w:val="222222"/>
          <w:shd w:val="clear" w:color="auto" w:fill="FFFFFF"/>
        </w:rPr>
        <w:t>43</w:t>
      </w:r>
      <w:r w:rsidR="00916971" w:rsidRPr="003E45EA">
        <w:rPr>
          <w:rFonts w:asciiTheme="majorHAnsi" w:hAnsiTheme="majorHAnsi" w:cstheme="majorHAnsi"/>
          <w:color w:val="222222"/>
          <w:shd w:val="clear" w:color="auto" w:fill="FFFFFF"/>
        </w:rPr>
        <w:t xml:space="preserve"> and AUD 5,</w:t>
      </w:r>
      <w:r w:rsidR="00DB6C2C">
        <w:rPr>
          <w:rFonts w:asciiTheme="majorHAnsi" w:hAnsiTheme="majorHAnsi" w:cstheme="majorHAnsi"/>
          <w:color w:val="222222"/>
          <w:shd w:val="clear" w:color="auto" w:fill="FFFFFF"/>
        </w:rPr>
        <w:t>277</w:t>
      </w:r>
      <w:r w:rsidR="00916971" w:rsidRPr="003E45EA">
        <w:rPr>
          <w:rFonts w:asciiTheme="majorHAnsi" w:hAnsiTheme="majorHAnsi" w:cstheme="majorHAnsi"/>
          <w:color w:val="222222"/>
          <w:shd w:val="clear" w:color="auto" w:fill="FFFFFF"/>
        </w:rPr>
        <w:t>.</w:t>
      </w:r>
      <w:r w:rsidR="00DB6C2C">
        <w:rPr>
          <w:rFonts w:asciiTheme="majorHAnsi" w:hAnsiTheme="majorHAnsi" w:cstheme="majorHAnsi"/>
          <w:color w:val="222222"/>
          <w:shd w:val="clear" w:color="auto" w:fill="FFFFFF"/>
        </w:rPr>
        <w:t>49</w:t>
      </w:r>
      <w:r w:rsidRPr="003E45EA">
        <w:rPr>
          <w:rFonts w:asciiTheme="majorHAnsi" w:hAnsiTheme="majorHAnsi" w:cstheme="majorHAnsi"/>
          <w:color w:val="222222"/>
          <w:shd w:val="clear" w:color="auto" w:fill="FFFFFF"/>
        </w:rPr>
        <w:t xml:space="preserve">. </w:t>
      </w:r>
      <w:r w:rsidR="00916971" w:rsidRPr="003E45EA">
        <w:rPr>
          <w:rFonts w:asciiTheme="majorHAnsi" w:hAnsiTheme="majorHAnsi" w:cstheme="majorHAnsi"/>
          <w:color w:val="222222"/>
          <w:shd w:val="clear" w:color="auto" w:fill="FFFFFF"/>
        </w:rPr>
        <w:t xml:space="preserve">Iron Ore </w:t>
      </w:r>
      <w:r w:rsidR="00726097">
        <w:rPr>
          <w:rFonts w:asciiTheme="majorHAnsi" w:hAnsiTheme="majorHAnsi" w:cstheme="majorHAnsi"/>
          <w:color w:val="222222"/>
          <w:shd w:val="clear" w:color="auto" w:fill="FFFFFF"/>
        </w:rPr>
        <w:t>recovered</w:t>
      </w:r>
      <w:r w:rsidR="00916971" w:rsidRPr="003E45EA">
        <w:rPr>
          <w:rFonts w:asciiTheme="majorHAnsi" w:hAnsiTheme="majorHAnsi" w:cstheme="majorHAnsi"/>
          <w:color w:val="222222"/>
          <w:shd w:val="clear" w:color="auto" w:fill="FFFFFF"/>
        </w:rPr>
        <w:t xml:space="preserve"> (</w:t>
      </w:r>
      <w:r w:rsidR="00726097">
        <w:rPr>
          <w:rFonts w:asciiTheme="majorHAnsi" w:hAnsiTheme="majorHAnsi" w:cstheme="majorHAnsi"/>
          <w:color w:val="222222"/>
          <w:shd w:val="clear" w:color="auto" w:fill="FFFFFF"/>
        </w:rPr>
        <w:t>+</w:t>
      </w:r>
      <w:r w:rsidR="00DB6C2C">
        <w:rPr>
          <w:rFonts w:asciiTheme="majorHAnsi" w:hAnsiTheme="majorHAnsi" w:cstheme="majorHAnsi"/>
          <w:color w:val="222222"/>
          <w:shd w:val="clear" w:color="auto" w:fill="FFFFFF"/>
        </w:rPr>
        <w:t>2.71</w:t>
      </w:r>
      <w:r w:rsidR="00916971" w:rsidRPr="003E45EA">
        <w:rPr>
          <w:rFonts w:asciiTheme="majorHAnsi" w:hAnsiTheme="majorHAnsi" w:cstheme="majorHAnsi"/>
          <w:color w:val="222222"/>
          <w:shd w:val="clear" w:color="auto" w:fill="FFFFFF"/>
        </w:rPr>
        <w:t>%) to US$</w:t>
      </w:r>
      <w:r w:rsidR="00DB6C2C">
        <w:rPr>
          <w:rFonts w:asciiTheme="majorHAnsi" w:hAnsiTheme="majorHAnsi" w:cstheme="majorHAnsi"/>
          <w:color w:val="222222"/>
          <w:shd w:val="clear" w:color="auto" w:fill="FFFFFF"/>
        </w:rPr>
        <w:t>101.81</w:t>
      </w:r>
      <w:r w:rsidR="00916971" w:rsidRPr="003E45EA">
        <w:rPr>
          <w:rFonts w:asciiTheme="majorHAnsi" w:hAnsiTheme="majorHAnsi" w:cstheme="majorHAnsi"/>
          <w:color w:val="222222"/>
          <w:shd w:val="clear" w:color="auto" w:fill="FFFFFF"/>
        </w:rPr>
        <w:t xml:space="preserve"> </w:t>
      </w:r>
      <w:r w:rsidRPr="003E45EA">
        <w:rPr>
          <w:rFonts w:asciiTheme="majorHAnsi" w:hAnsiTheme="majorHAnsi" w:cstheme="majorHAnsi"/>
          <w:color w:val="222222"/>
          <w:shd w:val="clear" w:color="auto" w:fill="FFFFFF"/>
        </w:rPr>
        <w:t>influenced by seasonal factors and trade dynamics with China.</w:t>
      </w:r>
    </w:p>
    <w:p w14:paraId="22F9253E" w14:textId="0A4D83FD" w:rsidR="00AB1F56" w:rsidRPr="003E45EA" w:rsidRDefault="00BB1A58" w:rsidP="00BB1A58">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 xml:space="preserve">Currency markets remained unpredictable. The US dollar </w:t>
      </w:r>
      <w:r w:rsidR="00DB6C2C">
        <w:rPr>
          <w:rFonts w:asciiTheme="majorHAnsi" w:hAnsiTheme="majorHAnsi" w:cstheme="majorHAnsi"/>
          <w:color w:val="222222"/>
          <w:shd w:val="clear" w:color="auto" w:fill="FFFFFF"/>
        </w:rPr>
        <w:t>lost</w:t>
      </w:r>
      <w:r w:rsidRPr="003E45EA">
        <w:rPr>
          <w:rFonts w:asciiTheme="majorHAnsi" w:hAnsiTheme="majorHAnsi" w:cstheme="majorHAnsi"/>
          <w:color w:val="222222"/>
          <w:shd w:val="clear" w:color="auto" w:fill="FFFFFF"/>
        </w:rPr>
        <w:t xml:space="preserve"> ground against several major currencies, s</w:t>
      </w:r>
      <w:r w:rsidR="00DB6C2C">
        <w:rPr>
          <w:rFonts w:asciiTheme="majorHAnsi" w:hAnsiTheme="majorHAnsi" w:cstheme="majorHAnsi"/>
          <w:color w:val="222222"/>
          <w:shd w:val="clear" w:color="auto" w:fill="FFFFFF"/>
        </w:rPr>
        <w:t>purred</w:t>
      </w:r>
      <w:r w:rsidRPr="003E45EA">
        <w:rPr>
          <w:rFonts w:asciiTheme="majorHAnsi" w:hAnsiTheme="majorHAnsi" w:cstheme="majorHAnsi"/>
          <w:color w:val="222222"/>
          <w:shd w:val="clear" w:color="auto" w:fill="FFFFFF"/>
        </w:rPr>
        <w:t xml:space="preserve"> by the Federal Reserve’s current monetary policy stance. However, emerging market currencies showed vulnerability as rising bond yields and geopolitical risks weighed heavily on investor sentiment.</w:t>
      </w:r>
    </w:p>
    <w:p w14:paraId="41DB7890" w14:textId="58A6A5CC" w:rsidR="006729DD" w:rsidRPr="003E45EA" w:rsidRDefault="003B20F9" w:rsidP="00BB1A58">
      <w:pPr>
        <w:rPr>
          <w:rFonts w:asciiTheme="majorHAnsi" w:hAnsiTheme="majorHAnsi" w:cstheme="majorHAnsi"/>
          <w:b/>
          <w:bCs/>
        </w:rPr>
      </w:pPr>
      <w:r w:rsidRPr="003E45EA">
        <w:rPr>
          <w:rFonts w:asciiTheme="majorHAnsi" w:hAnsiTheme="majorHAnsi" w:cstheme="majorHAnsi"/>
          <w:b/>
          <w:bCs/>
        </w:rPr>
        <w:t xml:space="preserve">Global </w:t>
      </w:r>
      <w:r w:rsidR="006729DD" w:rsidRPr="003E45EA">
        <w:rPr>
          <w:rFonts w:asciiTheme="majorHAnsi" w:hAnsiTheme="majorHAnsi" w:cstheme="majorHAnsi"/>
          <w:b/>
          <w:bCs/>
        </w:rPr>
        <w:t>Bond Markets</w:t>
      </w:r>
    </w:p>
    <w:p w14:paraId="28968381" w14:textId="7DAB4B37" w:rsidR="00C97425" w:rsidRPr="003E45EA" w:rsidRDefault="006729DD" w:rsidP="00C97425">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B</w:t>
      </w:r>
      <w:r w:rsidR="00C97425" w:rsidRPr="003E45EA">
        <w:rPr>
          <w:rFonts w:asciiTheme="majorHAnsi" w:hAnsiTheme="majorHAnsi" w:cstheme="majorHAnsi"/>
          <w:color w:val="222222"/>
          <w:shd w:val="clear" w:color="auto" w:fill="FFFFFF"/>
        </w:rPr>
        <w:t xml:space="preserve">ond markets are still not convinced </w:t>
      </w:r>
      <w:r w:rsidRPr="003E45EA">
        <w:rPr>
          <w:rFonts w:asciiTheme="majorHAnsi" w:hAnsiTheme="majorHAnsi" w:cstheme="majorHAnsi"/>
          <w:color w:val="222222"/>
          <w:shd w:val="clear" w:color="auto" w:fill="FFFFFF"/>
        </w:rPr>
        <w:t>by the tariff reprieve believing that the outcome will eventually lead to further inflation</w:t>
      </w:r>
      <w:r w:rsidR="000341D2">
        <w:rPr>
          <w:rFonts w:asciiTheme="majorHAnsi" w:hAnsiTheme="majorHAnsi" w:cstheme="majorHAnsi"/>
          <w:color w:val="222222"/>
          <w:shd w:val="clear" w:color="auto" w:fill="FFFFFF"/>
        </w:rPr>
        <w:t xml:space="preserve"> however, the Central Bank bias towards lower interest rates is leading the path forward with yields retreating</w:t>
      </w:r>
      <w:r w:rsidR="000760AB">
        <w:rPr>
          <w:rFonts w:asciiTheme="majorHAnsi" w:hAnsiTheme="majorHAnsi" w:cstheme="majorHAnsi"/>
          <w:color w:val="222222"/>
          <w:shd w:val="clear" w:color="auto" w:fill="FFFFFF"/>
        </w:rPr>
        <w:t xml:space="preserve"> ahead of the next US FOMC meeting</w:t>
      </w:r>
      <w:r w:rsidRPr="003E45EA">
        <w:rPr>
          <w:rFonts w:asciiTheme="majorHAnsi" w:hAnsiTheme="majorHAnsi" w:cstheme="majorHAnsi"/>
          <w:color w:val="222222"/>
          <w:shd w:val="clear" w:color="auto" w:fill="FFFFFF"/>
        </w:rPr>
        <w:t xml:space="preserve">. The long end of the interest rate curve is sensitive </w:t>
      </w:r>
      <w:r w:rsidR="00E94DE3">
        <w:rPr>
          <w:rFonts w:asciiTheme="majorHAnsi" w:hAnsiTheme="majorHAnsi" w:cstheme="majorHAnsi"/>
          <w:color w:val="222222"/>
          <w:shd w:val="clear" w:color="auto" w:fill="FFFFFF"/>
        </w:rPr>
        <w:t xml:space="preserve">however managed to trade </w:t>
      </w:r>
      <w:r w:rsidR="000760AB">
        <w:rPr>
          <w:rFonts w:asciiTheme="majorHAnsi" w:hAnsiTheme="majorHAnsi" w:cstheme="majorHAnsi"/>
          <w:color w:val="222222"/>
          <w:shd w:val="clear" w:color="auto" w:fill="FFFFFF"/>
        </w:rPr>
        <w:t>lower in yield terms reflecting the expected 25-basis point shift later this week.</w:t>
      </w:r>
      <w:r w:rsidRPr="003E45EA">
        <w:rPr>
          <w:rFonts w:asciiTheme="majorHAnsi" w:hAnsiTheme="majorHAnsi" w:cstheme="majorHAnsi"/>
          <w:color w:val="222222"/>
          <w:shd w:val="clear" w:color="auto" w:fill="FFFFFF"/>
        </w:rPr>
        <w:t xml:space="preserve"> </w:t>
      </w:r>
    </w:p>
    <w:p w14:paraId="73A8D33B" w14:textId="6998EDEF" w:rsidR="003B20F9" w:rsidRPr="003E45EA" w:rsidRDefault="003B20F9" w:rsidP="003B20F9">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 xml:space="preserve">Interest rate markets in the US month over </w:t>
      </w:r>
      <w:r w:rsidR="000760AB">
        <w:rPr>
          <w:rFonts w:asciiTheme="majorHAnsi" w:hAnsiTheme="majorHAnsi" w:cstheme="majorHAnsi"/>
          <w:color w:val="222222"/>
          <w:shd w:val="clear" w:color="auto" w:fill="FFFFFF"/>
        </w:rPr>
        <w:t>August</w:t>
      </w:r>
      <w:r w:rsidRPr="003E45EA">
        <w:rPr>
          <w:rFonts w:asciiTheme="majorHAnsi" w:hAnsiTheme="majorHAnsi" w:cstheme="majorHAnsi"/>
          <w:color w:val="222222"/>
          <w:shd w:val="clear" w:color="auto" w:fill="FFFFFF"/>
        </w:rPr>
        <w:t xml:space="preserve"> 2025 </w:t>
      </w:r>
      <w:r w:rsidR="000760AB">
        <w:rPr>
          <w:rFonts w:asciiTheme="majorHAnsi" w:hAnsiTheme="majorHAnsi" w:cstheme="majorHAnsi"/>
          <w:color w:val="222222"/>
          <w:shd w:val="clear" w:color="auto" w:fill="FFFFFF"/>
        </w:rPr>
        <w:t xml:space="preserve">eased </w:t>
      </w:r>
      <w:r w:rsidRPr="003E45EA">
        <w:rPr>
          <w:rFonts w:asciiTheme="majorHAnsi" w:hAnsiTheme="majorHAnsi" w:cstheme="majorHAnsi"/>
          <w:color w:val="222222"/>
          <w:shd w:val="clear" w:color="auto" w:fill="FFFFFF"/>
        </w:rPr>
        <w:t>with the 10year Government bonds falling to 4.2</w:t>
      </w:r>
      <w:r w:rsidR="000760AB">
        <w:rPr>
          <w:rFonts w:asciiTheme="majorHAnsi" w:hAnsiTheme="majorHAnsi" w:cstheme="majorHAnsi"/>
          <w:color w:val="222222"/>
          <w:shd w:val="clear" w:color="auto" w:fill="FFFFFF"/>
        </w:rPr>
        <w:t>37</w:t>
      </w:r>
      <w:r w:rsidRPr="003E45EA">
        <w:rPr>
          <w:rFonts w:asciiTheme="majorHAnsi" w:hAnsiTheme="majorHAnsi" w:cstheme="majorHAnsi"/>
          <w:color w:val="222222"/>
          <w:shd w:val="clear" w:color="auto" w:fill="FFFFFF"/>
        </w:rPr>
        <w:t xml:space="preserve">% on </w:t>
      </w:r>
      <w:r w:rsidR="000760AB">
        <w:rPr>
          <w:rFonts w:asciiTheme="majorHAnsi" w:hAnsiTheme="majorHAnsi" w:cstheme="majorHAnsi"/>
          <w:color w:val="222222"/>
          <w:shd w:val="clear" w:color="auto" w:fill="FFFFFF"/>
        </w:rPr>
        <w:t>29</w:t>
      </w:r>
      <w:r w:rsidR="000760AB" w:rsidRPr="000760AB">
        <w:rPr>
          <w:rFonts w:asciiTheme="majorHAnsi" w:hAnsiTheme="majorHAnsi" w:cstheme="majorHAnsi"/>
          <w:color w:val="222222"/>
          <w:shd w:val="clear" w:color="auto" w:fill="FFFFFF"/>
          <w:vertAlign w:val="superscript"/>
        </w:rPr>
        <w:t>th</w:t>
      </w:r>
      <w:r w:rsidR="000760AB">
        <w:rPr>
          <w:rFonts w:asciiTheme="majorHAnsi" w:hAnsiTheme="majorHAnsi" w:cstheme="majorHAnsi"/>
          <w:color w:val="222222"/>
          <w:shd w:val="clear" w:color="auto" w:fill="FFFFFF"/>
        </w:rPr>
        <w:t xml:space="preserve"> August 2025</w:t>
      </w:r>
      <w:r w:rsidRPr="003E45EA">
        <w:rPr>
          <w:rFonts w:asciiTheme="majorHAnsi" w:hAnsiTheme="majorHAnsi" w:cstheme="majorHAnsi"/>
          <w:color w:val="222222"/>
          <w:shd w:val="clear" w:color="auto" w:fill="FFFFFF"/>
        </w:rPr>
        <w:t xml:space="preserve"> and </w:t>
      </w:r>
      <w:r w:rsidR="000760AB">
        <w:rPr>
          <w:rFonts w:asciiTheme="majorHAnsi" w:hAnsiTheme="majorHAnsi" w:cstheme="majorHAnsi"/>
          <w:color w:val="222222"/>
          <w:shd w:val="clear" w:color="auto" w:fill="FFFFFF"/>
        </w:rPr>
        <w:t xml:space="preserve">continuing the trend into September 2025 </w:t>
      </w:r>
      <w:r w:rsidRPr="003E45EA">
        <w:rPr>
          <w:rFonts w:asciiTheme="majorHAnsi" w:hAnsiTheme="majorHAnsi" w:cstheme="majorHAnsi"/>
          <w:color w:val="222222"/>
          <w:shd w:val="clear" w:color="auto" w:fill="FFFFFF"/>
        </w:rPr>
        <w:t>hit</w:t>
      </w:r>
      <w:r w:rsidR="000760AB">
        <w:rPr>
          <w:rFonts w:asciiTheme="majorHAnsi" w:hAnsiTheme="majorHAnsi" w:cstheme="majorHAnsi"/>
          <w:color w:val="222222"/>
          <w:shd w:val="clear" w:color="auto" w:fill="FFFFFF"/>
        </w:rPr>
        <w:t>ting</w:t>
      </w:r>
      <w:r w:rsidRPr="003E45EA">
        <w:rPr>
          <w:rFonts w:asciiTheme="majorHAnsi" w:hAnsiTheme="majorHAnsi" w:cstheme="majorHAnsi"/>
          <w:color w:val="222222"/>
          <w:shd w:val="clear" w:color="auto" w:fill="FFFFFF"/>
        </w:rPr>
        <w:t xml:space="preserve"> 4.</w:t>
      </w:r>
      <w:r w:rsidR="000760AB">
        <w:rPr>
          <w:rFonts w:asciiTheme="majorHAnsi" w:hAnsiTheme="majorHAnsi" w:cstheme="majorHAnsi"/>
          <w:color w:val="222222"/>
          <w:shd w:val="clear" w:color="auto" w:fill="FFFFFF"/>
        </w:rPr>
        <w:t>0</w:t>
      </w:r>
      <w:r w:rsidRPr="003E45EA">
        <w:rPr>
          <w:rFonts w:asciiTheme="majorHAnsi" w:hAnsiTheme="majorHAnsi" w:cstheme="majorHAnsi"/>
          <w:color w:val="222222"/>
          <w:shd w:val="clear" w:color="auto" w:fill="FFFFFF"/>
        </w:rPr>
        <w:t xml:space="preserve">3% </w:t>
      </w:r>
      <w:r w:rsidR="000760AB">
        <w:rPr>
          <w:rFonts w:asciiTheme="majorHAnsi" w:hAnsiTheme="majorHAnsi" w:cstheme="majorHAnsi"/>
          <w:color w:val="222222"/>
          <w:shd w:val="clear" w:color="auto" w:fill="FFFFFF"/>
        </w:rPr>
        <w:t>early September 2</w:t>
      </w:r>
      <w:r w:rsidRPr="003E45EA">
        <w:rPr>
          <w:rFonts w:asciiTheme="majorHAnsi" w:hAnsiTheme="majorHAnsi" w:cstheme="majorHAnsi"/>
          <w:color w:val="222222"/>
          <w:shd w:val="clear" w:color="auto" w:fill="FFFFFF"/>
        </w:rPr>
        <w:t>025</w:t>
      </w:r>
      <w:r w:rsidR="000760AB">
        <w:rPr>
          <w:rFonts w:asciiTheme="majorHAnsi" w:hAnsiTheme="majorHAnsi" w:cstheme="majorHAnsi"/>
          <w:color w:val="222222"/>
          <w:shd w:val="clear" w:color="auto" w:fill="FFFFFF"/>
        </w:rPr>
        <w:t>.</w:t>
      </w:r>
      <w:r w:rsidRPr="003E45EA">
        <w:rPr>
          <w:rFonts w:asciiTheme="majorHAnsi" w:hAnsiTheme="majorHAnsi" w:cstheme="majorHAnsi"/>
          <w:color w:val="222222"/>
          <w:shd w:val="clear" w:color="auto" w:fill="FFFFFF"/>
        </w:rPr>
        <w:t xml:space="preserve"> US10year </w:t>
      </w:r>
      <w:r w:rsidR="00E94DE3">
        <w:rPr>
          <w:rFonts w:asciiTheme="majorHAnsi" w:hAnsiTheme="majorHAnsi" w:cstheme="majorHAnsi"/>
          <w:color w:val="222222"/>
          <w:shd w:val="clear" w:color="auto" w:fill="FFFFFF"/>
        </w:rPr>
        <w:t xml:space="preserve">bonds </w:t>
      </w:r>
      <w:r w:rsidRPr="003E45EA">
        <w:rPr>
          <w:rFonts w:asciiTheme="majorHAnsi" w:hAnsiTheme="majorHAnsi" w:cstheme="majorHAnsi"/>
          <w:color w:val="222222"/>
          <w:shd w:val="clear" w:color="auto" w:fill="FFFFFF"/>
        </w:rPr>
        <w:t>were trading at 4.</w:t>
      </w:r>
      <w:r w:rsidR="000760AB">
        <w:rPr>
          <w:rFonts w:asciiTheme="majorHAnsi" w:hAnsiTheme="majorHAnsi" w:cstheme="majorHAnsi"/>
          <w:color w:val="222222"/>
          <w:shd w:val="clear" w:color="auto" w:fill="FFFFFF"/>
        </w:rPr>
        <w:t>0</w:t>
      </w:r>
      <w:r w:rsidR="00E94DE3">
        <w:rPr>
          <w:rFonts w:asciiTheme="majorHAnsi" w:hAnsiTheme="majorHAnsi" w:cstheme="majorHAnsi"/>
          <w:color w:val="222222"/>
          <w:shd w:val="clear" w:color="auto" w:fill="FFFFFF"/>
        </w:rPr>
        <w:t>3</w:t>
      </w:r>
      <w:r w:rsidR="000760AB">
        <w:rPr>
          <w:rFonts w:asciiTheme="majorHAnsi" w:hAnsiTheme="majorHAnsi" w:cstheme="majorHAnsi"/>
          <w:color w:val="222222"/>
          <w:shd w:val="clear" w:color="auto" w:fill="FFFFFF"/>
        </w:rPr>
        <w:t>8</w:t>
      </w:r>
      <w:r w:rsidRPr="003E45EA">
        <w:rPr>
          <w:rFonts w:asciiTheme="majorHAnsi" w:hAnsiTheme="majorHAnsi" w:cstheme="majorHAnsi"/>
          <w:color w:val="222222"/>
          <w:shd w:val="clear" w:color="auto" w:fill="FFFFFF"/>
        </w:rPr>
        <w:t xml:space="preserve">% on </w:t>
      </w:r>
      <w:r w:rsidR="000760AB">
        <w:rPr>
          <w:rFonts w:asciiTheme="majorHAnsi" w:hAnsiTheme="majorHAnsi" w:cstheme="majorHAnsi"/>
          <w:color w:val="222222"/>
          <w:shd w:val="clear" w:color="auto" w:fill="FFFFFF"/>
        </w:rPr>
        <w:t>Tuesday 16</w:t>
      </w:r>
      <w:r w:rsidR="000760AB" w:rsidRPr="000760AB">
        <w:rPr>
          <w:rFonts w:asciiTheme="majorHAnsi" w:hAnsiTheme="majorHAnsi" w:cstheme="majorHAnsi"/>
          <w:color w:val="222222"/>
          <w:shd w:val="clear" w:color="auto" w:fill="FFFFFF"/>
          <w:vertAlign w:val="superscript"/>
        </w:rPr>
        <w:t>th</w:t>
      </w:r>
      <w:r w:rsidR="000760AB">
        <w:rPr>
          <w:rFonts w:asciiTheme="majorHAnsi" w:hAnsiTheme="majorHAnsi" w:cstheme="majorHAnsi"/>
          <w:color w:val="222222"/>
          <w:shd w:val="clear" w:color="auto" w:fill="FFFFFF"/>
        </w:rPr>
        <w:t xml:space="preserve"> September 2025.</w:t>
      </w:r>
    </w:p>
    <w:p w14:paraId="4096F786" w14:textId="62F13279" w:rsidR="00AB1F56" w:rsidRPr="003E45EA" w:rsidRDefault="00AB1F56" w:rsidP="00AB1F56">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Most investors are still of the opinion that interest rates and inflation are heading lower over the medium to long term, however these short-term adjustments driven by market data a</w:t>
      </w:r>
      <w:r w:rsidR="00170FC0" w:rsidRPr="003E45EA">
        <w:rPr>
          <w:rFonts w:asciiTheme="majorHAnsi" w:hAnsiTheme="majorHAnsi" w:cstheme="majorHAnsi"/>
          <w:color w:val="222222"/>
          <w:shd w:val="clear" w:color="auto" w:fill="FFFFFF"/>
        </w:rPr>
        <w:t>s</w:t>
      </w:r>
      <w:r w:rsidRPr="003E45EA">
        <w:rPr>
          <w:rFonts w:asciiTheme="majorHAnsi" w:hAnsiTheme="majorHAnsi" w:cstheme="majorHAnsi"/>
          <w:color w:val="222222"/>
          <w:shd w:val="clear" w:color="auto" w:fill="FFFFFF"/>
        </w:rPr>
        <w:t xml:space="preserve"> the US Federal Reserve (the Fed) </w:t>
      </w:r>
      <w:r w:rsidR="00D17CAB" w:rsidRPr="003E45EA">
        <w:rPr>
          <w:rFonts w:asciiTheme="majorHAnsi" w:hAnsiTheme="majorHAnsi" w:cstheme="majorHAnsi"/>
          <w:color w:val="222222"/>
          <w:shd w:val="clear" w:color="auto" w:fill="FFFFFF"/>
        </w:rPr>
        <w:t>ponders the next move after</w:t>
      </w:r>
      <w:r w:rsidRPr="003E45EA">
        <w:rPr>
          <w:rFonts w:asciiTheme="majorHAnsi" w:hAnsiTheme="majorHAnsi" w:cstheme="majorHAnsi"/>
          <w:color w:val="222222"/>
          <w:shd w:val="clear" w:color="auto" w:fill="FFFFFF"/>
        </w:rPr>
        <w:t xml:space="preserve"> </w:t>
      </w:r>
      <w:r w:rsidR="000760AB">
        <w:rPr>
          <w:rFonts w:asciiTheme="majorHAnsi" w:hAnsiTheme="majorHAnsi" w:cstheme="majorHAnsi"/>
          <w:color w:val="222222"/>
          <w:shd w:val="clear" w:color="auto" w:fill="FFFFFF"/>
        </w:rPr>
        <w:t xml:space="preserve">YOY </w:t>
      </w:r>
      <w:r w:rsidRPr="003E45EA">
        <w:rPr>
          <w:rFonts w:asciiTheme="majorHAnsi" w:hAnsiTheme="majorHAnsi" w:cstheme="majorHAnsi"/>
          <w:color w:val="222222"/>
          <w:shd w:val="clear" w:color="auto" w:fill="FFFFFF"/>
        </w:rPr>
        <w:t xml:space="preserve">inflation </w:t>
      </w:r>
      <w:r w:rsidR="00D17CAB" w:rsidRPr="003E45EA">
        <w:rPr>
          <w:rFonts w:asciiTheme="majorHAnsi" w:hAnsiTheme="majorHAnsi" w:cstheme="majorHAnsi"/>
          <w:color w:val="222222"/>
          <w:shd w:val="clear" w:color="auto" w:fill="FFFFFF"/>
        </w:rPr>
        <w:t xml:space="preserve">printed at </w:t>
      </w:r>
      <w:r w:rsidR="000760AB">
        <w:rPr>
          <w:rFonts w:asciiTheme="majorHAnsi" w:hAnsiTheme="majorHAnsi" w:cstheme="majorHAnsi"/>
          <w:color w:val="222222"/>
          <w:shd w:val="clear" w:color="auto" w:fill="FFFFFF"/>
        </w:rPr>
        <w:t>2.9</w:t>
      </w:r>
      <w:r w:rsidR="00F81BF9" w:rsidRPr="003E45EA">
        <w:rPr>
          <w:rFonts w:asciiTheme="majorHAnsi" w:hAnsiTheme="majorHAnsi" w:cstheme="majorHAnsi"/>
          <w:color w:val="222222"/>
          <w:shd w:val="clear" w:color="auto" w:fill="FFFFFF"/>
        </w:rPr>
        <w:t>%</w:t>
      </w:r>
      <w:r w:rsidR="00D17CAB" w:rsidRPr="003E45EA">
        <w:rPr>
          <w:rFonts w:asciiTheme="majorHAnsi" w:hAnsiTheme="majorHAnsi" w:cstheme="majorHAnsi"/>
          <w:color w:val="222222"/>
          <w:shd w:val="clear" w:color="auto" w:fill="FFFFFF"/>
        </w:rPr>
        <w:t xml:space="preserve"> for </w:t>
      </w:r>
      <w:r w:rsidR="000760AB">
        <w:rPr>
          <w:rFonts w:asciiTheme="majorHAnsi" w:hAnsiTheme="majorHAnsi" w:cstheme="majorHAnsi"/>
          <w:color w:val="222222"/>
          <w:shd w:val="clear" w:color="auto" w:fill="FFFFFF"/>
        </w:rPr>
        <w:t>August</w:t>
      </w:r>
      <w:r w:rsidR="00D17CAB" w:rsidRPr="003E45EA">
        <w:rPr>
          <w:rFonts w:asciiTheme="majorHAnsi" w:hAnsiTheme="majorHAnsi" w:cstheme="majorHAnsi"/>
          <w:color w:val="222222"/>
          <w:shd w:val="clear" w:color="auto" w:fill="FFFFFF"/>
        </w:rPr>
        <w:t xml:space="preserve"> 2025.</w:t>
      </w:r>
    </w:p>
    <w:p w14:paraId="76AE76DC" w14:textId="3F70EACD" w:rsidR="009A3B4B" w:rsidRPr="003E45EA" w:rsidRDefault="009A3B4B" w:rsidP="009A3B4B">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The Fed left the target cash rate at</w:t>
      </w:r>
      <w:r w:rsidRPr="003E45EA">
        <w:rPr>
          <w:rFonts w:asciiTheme="majorHAnsi" w:hAnsiTheme="majorHAnsi" w:cstheme="majorHAnsi"/>
          <w:b/>
          <w:bCs/>
          <w:color w:val="222222"/>
          <w:shd w:val="clear" w:color="auto" w:fill="FFFFFF"/>
        </w:rPr>
        <w:t xml:space="preserve"> 4.25%-4.50%</w:t>
      </w:r>
      <w:r w:rsidRPr="003E45EA">
        <w:rPr>
          <w:rFonts w:asciiTheme="majorHAnsi" w:hAnsiTheme="majorHAnsi" w:cstheme="majorHAnsi"/>
          <w:color w:val="222222"/>
          <w:shd w:val="clear" w:color="auto" w:fill="FFFFFF"/>
        </w:rPr>
        <w:t xml:space="preserve"> at its meeting held on the </w:t>
      </w:r>
      <w:r w:rsidR="00015597">
        <w:rPr>
          <w:rFonts w:asciiTheme="majorHAnsi" w:hAnsiTheme="majorHAnsi" w:cstheme="majorHAnsi"/>
          <w:color w:val="222222"/>
          <w:shd w:val="clear" w:color="auto" w:fill="FFFFFF"/>
        </w:rPr>
        <w:t>29</w:t>
      </w:r>
      <w:r w:rsidR="00D17CAB" w:rsidRPr="003E45EA">
        <w:rPr>
          <w:rFonts w:asciiTheme="majorHAnsi" w:hAnsiTheme="majorHAnsi" w:cstheme="majorHAnsi"/>
          <w:color w:val="222222"/>
          <w:shd w:val="clear" w:color="auto" w:fill="FFFFFF"/>
          <w:vertAlign w:val="superscript"/>
        </w:rPr>
        <w:t>th</w:t>
      </w:r>
      <w:r w:rsidR="00D17CAB" w:rsidRPr="003E45EA">
        <w:rPr>
          <w:rFonts w:asciiTheme="majorHAnsi" w:hAnsiTheme="majorHAnsi" w:cstheme="majorHAnsi"/>
          <w:color w:val="222222"/>
          <w:shd w:val="clear" w:color="auto" w:fill="FFFFFF"/>
        </w:rPr>
        <w:t>/</w:t>
      </w:r>
      <w:r w:rsidR="00015597">
        <w:rPr>
          <w:rFonts w:asciiTheme="majorHAnsi" w:hAnsiTheme="majorHAnsi" w:cstheme="majorHAnsi"/>
          <w:color w:val="222222"/>
          <w:shd w:val="clear" w:color="auto" w:fill="FFFFFF"/>
        </w:rPr>
        <w:t>30</w:t>
      </w:r>
      <w:r w:rsidR="00D17CAB" w:rsidRPr="003E45EA">
        <w:rPr>
          <w:rFonts w:asciiTheme="majorHAnsi" w:hAnsiTheme="majorHAnsi" w:cstheme="majorHAnsi"/>
          <w:color w:val="222222"/>
          <w:shd w:val="clear" w:color="auto" w:fill="FFFFFF"/>
          <w:vertAlign w:val="superscript"/>
        </w:rPr>
        <w:t>th</w:t>
      </w:r>
      <w:r w:rsidR="00D17CAB" w:rsidRPr="003E45EA">
        <w:rPr>
          <w:rFonts w:asciiTheme="majorHAnsi" w:hAnsiTheme="majorHAnsi" w:cstheme="majorHAnsi"/>
          <w:color w:val="222222"/>
          <w:shd w:val="clear" w:color="auto" w:fill="FFFFFF"/>
        </w:rPr>
        <w:t xml:space="preserve"> </w:t>
      </w:r>
      <w:r w:rsidR="00CC2163" w:rsidRPr="003E45EA">
        <w:rPr>
          <w:rFonts w:asciiTheme="majorHAnsi" w:hAnsiTheme="majorHAnsi" w:cstheme="majorHAnsi"/>
          <w:color w:val="222222"/>
          <w:shd w:val="clear" w:color="auto" w:fill="FFFFFF"/>
        </w:rPr>
        <w:t>Ju</w:t>
      </w:r>
      <w:r w:rsidR="00015597">
        <w:rPr>
          <w:rFonts w:asciiTheme="majorHAnsi" w:hAnsiTheme="majorHAnsi" w:cstheme="majorHAnsi"/>
          <w:color w:val="222222"/>
          <w:shd w:val="clear" w:color="auto" w:fill="FFFFFF"/>
        </w:rPr>
        <w:t>ly</w:t>
      </w:r>
      <w:r w:rsidRPr="003E45EA">
        <w:rPr>
          <w:rFonts w:asciiTheme="majorHAnsi" w:hAnsiTheme="majorHAnsi" w:cstheme="majorHAnsi"/>
          <w:color w:val="222222"/>
          <w:shd w:val="clear" w:color="auto" w:fill="FFFFFF"/>
        </w:rPr>
        <w:t xml:space="preserve"> 2025. The next meeting held on the </w:t>
      </w:r>
      <w:r w:rsidR="00015597" w:rsidRPr="00981E23">
        <w:rPr>
          <w:rFonts w:asciiTheme="majorHAnsi" w:hAnsiTheme="majorHAnsi" w:cstheme="majorHAnsi"/>
          <w:b/>
          <w:bCs/>
          <w:color w:val="222222"/>
          <w:shd w:val="clear" w:color="auto" w:fill="FFFFFF"/>
        </w:rPr>
        <w:t>16</w:t>
      </w:r>
      <w:r w:rsidRPr="00981E23">
        <w:rPr>
          <w:rFonts w:asciiTheme="majorHAnsi" w:hAnsiTheme="majorHAnsi" w:cstheme="majorHAnsi"/>
          <w:b/>
          <w:bCs/>
          <w:color w:val="222222"/>
          <w:shd w:val="clear" w:color="auto" w:fill="FFFFFF"/>
          <w:vertAlign w:val="superscript"/>
        </w:rPr>
        <w:t>th</w:t>
      </w:r>
      <w:r w:rsidRPr="00981E23">
        <w:rPr>
          <w:rFonts w:asciiTheme="majorHAnsi" w:hAnsiTheme="majorHAnsi" w:cstheme="majorHAnsi"/>
          <w:b/>
          <w:bCs/>
          <w:color w:val="222222"/>
          <w:shd w:val="clear" w:color="auto" w:fill="FFFFFF"/>
        </w:rPr>
        <w:t>/</w:t>
      </w:r>
      <w:r w:rsidR="00015597">
        <w:rPr>
          <w:rFonts w:asciiTheme="majorHAnsi" w:hAnsiTheme="majorHAnsi" w:cstheme="majorHAnsi"/>
          <w:b/>
          <w:bCs/>
          <w:color w:val="222222"/>
          <w:shd w:val="clear" w:color="auto" w:fill="FFFFFF"/>
        </w:rPr>
        <w:t>17</w:t>
      </w:r>
      <w:r w:rsidRPr="003E45EA">
        <w:rPr>
          <w:rFonts w:asciiTheme="majorHAnsi" w:hAnsiTheme="majorHAnsi" w:cstheme="majorHAnsi"/>
          <w:b/>
          <w:bCs/>
          <w:color w:val="222222"/>
          <w:shd w:val="clear" w:color="auto" w:fill="FFFFFF"/>
          <w:vertAlign w:val="superscript"/>
        </w:rPr>
        <w:t>th</w:t>
      </w:r>
      <w:r w:rsidRPr="003E45EA">
        <w:rPr>
          <w:rFonts w:asciiTheme="majorHAnsi" w:hAnsiTheme="majorHAnsi" w:cstheme="majorHAnsi"/>
          <w:color w:val="222222"/>
          <w:shd w:val="clear" w:color="auto" w:fill="FFFFFF"/>
        </w:rPr>
        <w:t xml:space="preserve"> </w:t>
      </w:r>
      <w:r w:rsidR="00015597" w:rsidRPr="00015597">
        <w:rPr>
          <w:rFonts w:asciiTheme="majorHAnsi" w:hAnsiTheme="majorHAnsi" w:cstheme="majorHAnsi"/>
          <w:b/>
          <w:bCs/>
          <w:color w:val="222222"/>
          <w:shd w:val="clear" w:color="auto" w:fill="FFFFFF"/>
        </w:rPr>
        <w:t>September</w:t>
      </w:r>
      <w:r w:rsidRPr="003E45EA">
        <w:rPr>
          <w:rFonts w:asciiTheme="majorHAnsi" w:hAnsiTheme="majorHAnsi" w:cstheme="majorHAnsi"/>
          <w:b/>
          <w:bCs/>
          <w:color w:val="222222"/>
          <w:shd w:val="clear" w:color="auto" w:fill="FFFFFF"/>
        </w:rPr>
        <w:t xml:space="preserve"> 2025</w:t>
      </w:r>
      <w:r w:rsidRPr="003E45EA">
        <w:rPr>
          <w:rFonts w:asciiTheme="majorHAnsi" w:hAnsiTheme="majorHAnsi" w:cstheme="majorHAnsi"/>
          <w:color w:val="222222"/>
          <w:shd w:val="clear" w:color="auto" w:fill="FFFFFF"/>
        </w:rPr>
        <w:t xml:space="preserve">. </w:t>
      </w:r>
      <w:r w:rsidR="006729DD" w:rsidRPr="003E45EA">
        <w:rPr>
          <w:rFonts w:asciiTheme="majorHAnsi" w:hAnsiTheme="majorHAnsi" w:cstheme="majorHAnsi"/>
          <w:color w:val="222222"/>
          <w:shd w:val="clear" w:color="auto" w:fill="FFFFFF"/>
        </w:rPr>
        <w:t>T</w:t>
      </w:r>
      <w:r w:rsidR="003D2CC1" w:rsidRPr="003E45EA">
        <w:rPr>
          <w:rFonts w:asciiTheme="majorHAnsi" w:hAnsiTheme="majorHAnsi" w:cstheme="majorHAnsi"/>
          <w:color w:val="222222"/>
          <w:shd w:val="clear" w:color="auto" w:fill="FFFFFF"/>
        </w:rPr>
        <w:t xml:space="preserve">he </w:t>
      </w:r>
      <w:r w:rsidR="003D2CC1" w:rsidRPr="003E45EA">
        <w:rPr>
          <w:rFonts w:asciiTheme="majorHAnsi" w:hAnsiTheme="majorHAnsi" w:cstheme="majorHAnsi"/>
          <w:b/>
          <w:bCs/>
          <w:color w:val="222222"/>
          <w:shd w:val="clear" w:color="auto" w:fill="FFFFFF"/>
        </w:rPr>
        <w:t xml:space="preserve">US Fed </w:t>
      </w:r>
      <w:r w:rsidR="006729DD" w:rsidRPr="003E45EA">
        <w:rPr>
          <w:rFonts w:asciiTheme="majorHAnsi" w:hAnsiTheme="majorHAnsi" w:cstheme="majorHAnsi"/>
          <w:b/>
          <w:bCs/>
          <w:color w:val="222222"/>
          <w:shd w:val="clear" w:color="auto" w:fill="FFFFFF"/>
        </w:rPr>
        <w:t xml:space="preserve">is expected to </w:t>
      </w:r>
      <w:r w:rsidR="00015597">
        <w:rPr>
          <w:rFonts w:asciiTheme="majorHAnsi" w:hAnsiTheme="majorHAnsi" w:cstheme="majorHAnsi"/>
          <w:b/>
          <w:bCs/>
          <w:color w:val="222222"/>
          <w:shd w:val="clear" w:color="auto" w:fill="FFFFFF"/>
        </w:rPr>
        <w:t>shift</w:t>
      </w:r>
      <w:r w:rsidR="006729DD" w:rsidRPr="003E45EA">
        <w:rPr>
          <w:rFonts w:asciiTheme="majorHAnsi" w:hAnsiTheme="majorHAnsi" w:cstheme="majorHAnsi"/>
          <w:b/>
          <w:bCs/>
          <w:color w:val="222222"/>
          <w:shd w:val="clear" w:color="auto" w:fill="FFFFFF"/>
        </w:rPr>
        <w:t xml:space="preserve"> the</w:t>
      </w:r>
      <w:r w:rsidR="006729DD" w:rsidRPr="003E45EA">
        <w:rPr>
          <w:rFonts w:asciiTheme="majorHAnsi" w:hAnsiTheme="majorHAnsi" w:cstheme="majorHAnsi"/>
          <w:color w:val="222222"/>
          <w:shd w:val="clear" w:color="auto" w:fill="FFFFFF"/>
        </w:rPr>
        <w:t xml:space="preserve"> </w:t>
      </w:r>
      <w:r w:rsidR="006729DD" w:rsidRPr="003E45EA">
        <w:rPr>
          <w:rFonts w:asciiTheme="majorHAnsi" w:hAnsiTheme="majorHAnsi" w:cstheme="majorHAnsi"/>
          <w:b/>
          <w:bCs/>
          <w:color w:val="222222"/>
          <w:shd w:val="clear" w:color="auto" w:fill="FFFFFF"/>
        </w:rPr>
        <w:t xml:space="preserve">target cash range </w:t>
      </w:r>
      <w:r w:rsidR="00015597">
        <w:rPr>
          <w:rFonts w:asciiTheme="majorHAnsi" w:hAnsiTheme="majorHAnsi" w:cstheme="majorHAnsi"/>
          <w:b/>
          <w:bCs/>
          <w:color w:val="222222"/>
          <w:shd w:val="clear" w:color="auto" w:fill="FFFFFF"/>
        </w:rPr>
        <w:t>by 0.25% at this meeting</w:t>
      </w:r>
      <w:r w:rsidR="006729DD" w:rsidRPr="003E45EA">
        <w:rPr>
          <w:rFonts w:asciiTheme="majorHAnsi" w:hAnsiTheme="majorHAnsi" w:cstheme="majorHAnsi"/>
          <w:color w:val="222222"/>
          <w:shd w:val="clear" w:color="auto" w:fill="FFFFFF"/>
        </w:rPr>
        <w:t xml:space="preserve">. </w:t>
      </w:r>
      <w:r w:rsidRPr="003E45EA">
        <w:rPr>
          <w:rFonts w:asciiTheme="majorHAnsi" w:hAnsiTheme="majorHAnsi" w:cstheme="majorHAnsi"/>
          <w:color w:val="222222"/>
          <w:shd w:val="clear" w:color="auto" w:fill="FFFFFF"/>
        </w:rPr>
        <w:t xml:space="preserve">Regarding treasury securities and agency debt holdings: </w:t>
      </w:r>
    </w:p>
    <w:p w14:paraId="1E12D3E1" w14:textId="0227D081" w:rsidR="009A3B4B" w:rsidRPr="003E45EA" w:rsidRDefault="009A3B4B" w:rsidP="00F81BF9">
      <w:pPr>
        <w:ind w:left="720"/>
        <w:rPr>
          <w:rFonts w:asciiTheme="majorHAnsi" w:hAnsiTheme="majorHAnsi" w:cstheme="majorHAnsi"/>
          <w:i/>
          <w:iCs/>
          <w:color w:val="222222"/>
          <w:shd w:val="clear" w:color="auto" w:fill="FFFFFF"/>
        </w:rPr>
      </w:pPr>
      <w:r w:rsidRPr="003E45EA">
        <w:rPr>
          <w:rFonts w:asciiTheme="majorHAnsi" w:hAnsiTheme="majorHAnsi" w:cstheme="majorHAnsi"/>
          <w:i/>
          <w:iCs/>
          <w:color w:val="222222"/>
          <w:shd w:val="clear" w:color="auto" w:fill="FFFFFF"/>
        </w:rPr>
        <w:t>“</w:t>
      </w:r>
      <w:r w:rsidR="00CC2163" w:rsidRPr="003E45EA">
        <w:rPr>
          <w:rFonts w:asciiTheme="majorHAnsi" w:hAnsiTheme="majorHAnsi" w:cstheme="majorHAnsi"/>
          <w:i/>
          <w:iCs/>
          <w:color w:val="222222"/>
          <w:shd w:val="clear" w:color="auto" w:fill="FFFFFF"/>
        </w:rPr>
        <w:t xml:space="preserve">In considering the extent and timing of additional adjustments to the target range for the federal funds rate, the Committee will carefully assess incoming data, the evolving outlook, </w:t>
      </w:r>
      <w:r w:rsidR="00CC2163" w:rsidRPr="003E45EA">
        <w:rPr>
          <w:rFonts w:asciiTheme="majorHAnsi" w:hAnsiTheme="majorHAnsi" w:cstheme="majorHAnsi"/>
          <w:i/>
          <w:iCs/>
          <w:color w:val="222222"/>
          <w:shd w:val="clear" w:color="auto" w:fill="FFFFFF"/>
        </w:rPr>
        <w:lastRenderedPageBreak/>
        <w:t>and the balance of risks. The Committee will continue reducing its holdings of Treasury securities and agency debt and agency mortgage</w:t>
      </w:r>
      <w:r w:rsidR="00CC2163" w:rsidRPr="003E45EA">
        <w:rPr>
          <w:rFonts w:ascii="Cambria Math" w:hAnsi="Cambria Math" w:cs="Cambria Math"/>
          <w:i/>
          <w:iCs/>
          <w:color w:val="222222"/>
          <w:shd w:val="clear" w:color="auto" w:fill="FFFFFF"/>
        </w:rPr>
        <w:t>‑</w:t>
      </w:r>
      <w:r w:rsidR="00CC2163" w:rsidRPr="003E45EA">
        <w:rPr>
          <w:rFonts w:asciiTheme="majorHAnsi" w:hAnsiTheme="majorHAnsi" w:cstheme="majorHAnsi"/>
          <w:i/>
          <w:iCs/>
          <w:color w:val="222222"/>
          <w:shd w:val="clear" w:color="auto" w:fill="FFFFFF"/>
        </w:rPr>
        <w:t>backed securities. The Committee is strongly committed to supporting maximum employment and returning inflation to its 2 percent objective</w:t>
      </w:r>
      <w:r w:rsidR="00252B3E" w:rsidRPr="003E45EA">
        <w:rPr>
          <w:rFonts w:asciiTheme="majorHAnsi" w:hAnsiTheme="majorHAnsi" w:cstheme="majorHAnsi"/>
          <w:i/>
          <w:iCs/>
          <w:color w:val="222222"/>
          <w:shd w:val="clear" w:color="auto" w:fill="FFFFFF"/>
        </w:rPr>
        <w:t xml:space="preserve">. </w:t>
      </w:r>
      <w:r w:rsidR="00CC2163" w:rsidRPr="003E45EA">
        <w:rPr>
          <w:rFonts w:asciiTheme="majorHAnsi" w:hAnsiTheme="majorHAnsi" w:cstheme="majorHAnsi"/>
          <w:i/>
          <w:iCs/>
          <w:color w:val="222222"/>
          <w:shd w:val="clear" w:color="auto" w:fill="FFFFFF"/>
        </w:rPr>
        <w:t>In assessing the appropriate stance of monetary policy, the Committee will continue to monitor the implications of incoming information for the economic outlook. The Committee would be prepared to adjust the stance of monetary policy as appropriate if risks emerge that could impede the attainment of the Committee’s goals. The Committee’s assessments will take into account a wide range of information, including readings on labor market conditions, inflation pressures and inflation expectations, and financial and international developments</w:t>
      </w:r>
      <w:r w:rsidR="00252B3E" w:rsidRPr="003E45EA">
        <w:rPr>
          <w:rFonts w:asciiTheme="majorHAnsi" w:hAnsiTheme="majorHAnsi" w:cstheme="majorHAnsi"/>
          <w:i/>
          <w:iCs/>
          <w:color w:val="222222"/>
          <w:shd w:val="clear" w:color="auto" w:fill="FFFFFF"/>
        </w:rPr>
        <w:t>.”</w:t>
      </w:r>
      <w:r w:rsidRPr="003E45EA">
        <w:rPr>
          <w:rFonts w:asciiTheme="majorHAnsi" w:hAnsiTheme="majorHAnsi" w:cstheme="majorHAnsi"/>
          <w:i/>
          <w:iCs/>
          <w:color w:val="222222"/>
          <w:shd w:val="clear" w:color="auto" w:fill="FFFFFF"/>
        </w:rPr>
        <w:t xml:space="preserve"> </w:t>
      </w:r>
      <w:r w:rsidRPr="003E45EA">
        <w:rPr>
          <w:rFonts w:asciiTheme="majorHAnsi" w:hAnsiTheme="majorHAnsi" w:cstheme="majorHAnsi"/>
          <w:i/>
          <w:iCs/>
          <w:color w:val="222222"/>
          <w:u w:val="single"/>
          <w:shd w:val="clear" w:color="auto" w:fill="FFFFFF"/>
        </w:rPr>
        <w:t>Source:</w:t>
      </w:r>
      <w:r w:rsidRPr="003E45EA">
        <w:rPr>
          <w:rFonts w:asciiTheme="majorHAnsi" w:hAnsiTheme="majorHAnsi" w:cstheme="majorHAnsi"/>
          <w:i/>
          <w:iCs/>
          <w:color w:val="222222"/>
          <w:shd w:val="clear" w:color="auto" w:fill="FFFFFF"/>
        </w:rPr>
        <w:t xml:space="preserve"> The Board of Governors of the Federal Reserve System, Chair, Jerome Powell, </w:t>
      </w:r>
      <w:r w:rsidR="00015597">
        <w:rPr>
          <w:rFonts w:asciiTheme="majorHAnsi" w:hAnsiTheme="majorHAnsi" w:cstheme="majorHAnsi"/>
          <w:i/>
          <w:iCs/>
          <w:color w:val="222222"/>
          <w:shd w:val="clear" w:color="auto" w:fill="FFFFFF"/>
        </w:rPr>
        <w:t>30</w:t>
      </w:r>
      <w:r w:rsidRPr="003E45EA">
        <w:rPr>
          <w:rFonts w:asciiTheme="majorHAnsi" w:hAnsiTheme="majorHAnsi" w:cstheme="majorHAnsi"/>
          <w:i/>
          <w:iCs/>
          <w:color w:val="222222"/>
          <w:shd w:val="clear" w:color="auto" w:fill="FFFFFF"/>
          <w:vertAlign w:val="superscript"/>
        </w:rPr>
        <w:t>th</w:t>
      </w:r>
      <w:r w:rsidRPr="003E45EA">
        <w:rPr>
          <w:rFonts w:asciiTheme="majorHAnsi" w:hAnsiTheme="majorHAnsi" w:cstheme="majorHAnsi"/>
          <w:i/>
          <w:iCs/>
          <w:color w:val="222222"/>
          <w:shd w:val="clear" w:color="auto" w:fill="FFFFFF"/>
        </w:rPr>
        <w:t xml:space="preserve"> </w:t>
      </w:r>
      <w:r w:rsidR="00F81BF9" w:rsidRPr="003E45EA">
        <w:rPr>
          <w:rFonts w:asciiTheme="majorHAnsi" w:hAnsiTheme="majorHAnsi" w:cstheme="majorHAnsi"/>
          <w:i/>
          <w:iCs/>
          <w:color w:val="222222"/>
          <w:shd w:val="clear" w:color="auto" w:fill="FFFFFF"/>
        </w:rPr>
        <w:t>Ju</w:t>
      </w:r>
      <w:r w:rsidR="00015597">
        <w:rPr>
          <w:rFonts w:asciiTheme="majorHAnsi" w:hAnsiTheme="majorHAnsi" w:cstheme="majorHAnsi"/>
          <w:i/>
          <w:iCs/>
          <w:color w:val="222222"/>
          <w:shd w:val="clear" w:color="auto" w:fill="FFFFFF"/>
        </w:rPr>
        <w:t>ly</w:t>
      </w:r>
      <w:r w:rsidRPr="003E45EA">
        <w:rPr>
          <w:rFonts w:asciiTheme="majorHAnsi" w:hAnsiTheme="majorHAnsi" w:cstheme="majorHAnsi"/>
          <w:i/>
          <w:iCs/>
          <w:color w:val="222222"/>
          <w:shd w:val="clear" w:color="auto" w:fill="FFFFFF"/>
        </w:rPr>
        <w:t xml:space="preserve"> 2025.</w:t>
      </w:r>
    </w:p>
    <w:p w14:paraId="53571F40" w14:textId="0B0233DF" w:rsidR="009A3B4B" w:rsidRPr="003E45EA" w:rsidRDefault="009A3B4B" w:rsidP="009A3B4B">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 xml:space="preserve">US Retail Sales </w:t>
      </w:r>
      <w:r w:rsidR="00E12F77" w:rsidRPr="003E45EA">
        <w:rPr>
          <w:rFonts w:asciiTheme="majorHAnsi" w:hAnsiTheme="majorHAnsi" w:cstheme="majorHAnsi"/>
          <w:color w:val="222222"/>
          <w:shd w:val="clear" w:color="auto" w:fill="FFFFFF"/>
        </w:rPr>
        <w:t>YOY</w:t>
      </w:r>
      <w:r w:rsidRPr="003E45EA">
        <w:rPr>
          <w:rFonts w:asciiTheme="majorHAnsi" w:hAnsiTheme="majorHAnsi" w:cstheme="majorHAnsi"/>
          <w:color w:val="222222"/>
          <w:shd w:val="clear" w:color="auto" w:fill="FFFFFF"/>
        </w:rPr>
        <w:t xml:space="preserve"> increased by (</w:t>
      </w:r>
      <w:r w:rsidR="006729DD" w:rsidRPr="003E45EA">
        <w:rPr>
          <w:rFonts w:asciiTheme="majorHAnsi" w:hAnsiTheme="majorHAnsi" w:cstheme="majorHAnsi"/>
          <w:color w:val="222222"/>
          <w:shd w:val="clear" w:color="auto" w:fill="FFFFFF"/>
        </w:rPr>
        <w:t>+</w:t>
      </w:r>
      <w:r w:rsidR="00E12F77" w:rsidRPr="003E45EA">
        <w:rPr>
          <w:rFonts w:asciiTheme="majorHAnsi" w:hAnsiTheme="majorHAnsi" w:cstheme="majorHAnsi"/>
          <w:color w:val="222222"/>
          <w:shd w:val="clear" w:color="auto" w:fill="FFFFFF"/>
        </w:rPr>
        <w:t>3.9</w:t>
      </w:r>
      <w:r w:rsidRPr="003E45EA">
        <w:rPr>
          <w:rFonts w:asciiTheme="majorHAnsi" w:hAnsiTheme="majorHAnsi" w:cstheme="majorHAnsi"/>
          <w:color w:val="222222"/>
          <w:shd w:val="clear" w:color="auto" w:fill="FFFFFF"/>
        </w:rPr>
        <w:t xml:space="preserve">%) in </w:t>
      </w:r>
      <w:r w:rsidR="00E12F77" w:rsidRPr="003E45EA">
        <w:rPr>
          <w:rFonts w:asciiTheme="majorHAnsi" w:hAnsiTheme="majorHAnsi" w:cstheme="majorHAnsi"/>
          <w:color w:val="222222"/>
          <w:shd w:val="clear" w:color="auto" w:fill="FFFFFF"/>
        </w:rPr>
        <w:t>Ju</w:t>
      </w:r>
      <w:r w:rsidR="00313CCB">
        <w:rPr>
          <w:rFonts w:asciiTheme="majorHAnsi" w:hAnsiTheme="majorHAnsi" w:cstheme="majorHAnsi"/>
          <w:color w:val="222222"/>
          <w:shd w:val="clear" w:color="auto" w:fill="FFFFFF"/>
        </w:rPr>
        <w:t>ly</w:t>
      </w:r>
      <w:r w:rsidRPr="003E45EA">
        <w:rPr>
          <w:rFonts w:asciiTheme="majorHAnsi" w:hAnsiTheme="majorHAnsi" w:cstheme="majorHAnsi"/>
          <w:color w:val="222222"/>
          <w:shd w:val="clear" w:color="auto" w:fill="FFFFFF"/>
        </w:rPr>
        <w:t xml:space="preserve"> 2025 </w:t>
      </w:r>
      <w:r w:rsidR="00313CCB">
        <w:rPr>
          <w:rFonts w:asciiTheme="majorHAnsi" w:hAnsiTheme="majorHAnsi" w:cstheme="majorHAnsi"/>
          <w:color w:val="222222"/>
          <w:shd w:val="clear" w:color="auto" w:fill="FFFFFF"/>
        </w:rPr>
        <w:t>down</w:t>
      </w:r>
      <w:r w:rsidRPr="003E45EA">
        <w:rPr>
          <w:rFonts w:asciiTheme="majorHAnsi" w:hAnsiTheme="majorHAnsi" w:cstheme="majorHAnsi"/>
          <w:color w:val="222222"/>
          <w:shd w:val="clear" w:color="auto" w:fill="FFFFFF"/>
        </w:rPr>
        <w:t xml:space="preserve"> from (</w:t>
      </w:r>
      <w:r w:rsidR="00D57D5E" w:rsidRPr="003E45EA">
        <w:rPr>
          <w:rFonts w:asciiTheme="majorHAnsi" w:hAnsiTheme="majorHAnsi" w:cstheme="majorHAnsi"/>
          <w:color w:val="222222"/>
          <w:shd w:val="clear" w:color="auto" w:fill="FFFFFF"/>
        </w:rPr>
        <w:t>+</w:t>
      </w:r>
      <w:r w:rsidR="00313CCB">
        <w:rPr>
          <w:rFonts w:asciiTheme="majorHAnsi" w:hAnsiTheme="majorHAnsi" w:cstheme="majorHAnsi"/>
          <w:color w:val="222222"/>
          <w:shd w:val="clear" w:color="auto" w:fill="FFFFFF"/>
        </w:rPr>
        <w:t>4.4</w:t>
      </w:r>
      <w:r w:rsidRPr="003E45EA">
        <w:rPr>
          <w:rFonts w:asciiTheme="majorHAnsi" w:hAnsiTheme="majorHAnsi" w:cstheme="majorHAnsi"/>
          <w:color w:val="222222"/>
          <w:shd w:val="clear" w:color="auto" w:fill="FFFFFF"/>
        </w:rPr>
        <w:t xml:space="preserve">%) in </w:t>
      </w:r>
      <w:r w:rsidR="00313CCB">
        <w:rPr>
          <w:rFonts w:asciiTheme="majorHAnsi" w:hAnsiTheme="majorHAnsi" w:cstheme="majorHAnsi"/>
          <w:color w:val="222222"/>
          <w:shd w:val="clear" w:color="auto" w:fill="FFFFFF"/>
        </w:rPr>
        <w:t>June</w:t>
      </w:r>
      <w:r w:rsidRPr="003E45EA">
        <w:rPr>
          <w:rFonts w:asciiTheme="majorHAnsi" w:hAnsiTheme="majorHAnsi" w:cstheme="majorHAnsi"/>
          <w:color w:val="222222"/>
          <w:shd w:val="clear" w:color="auto" w:fill="FFFFFF"/>
        </w:rPr>
        <w:t xml:space="preserve"> 2025.</w:t>
      </w:r>
    </w:p>
    <w:p w14:paraId="56390823" w14:textId="2AD90A09" w:rsidR="00F67D7A" w:rsidRPr="003E45EA" w:rsidRDefault="00F67D7A" w:rsidP="00A352A1">
      <w:pPr>
        <w:rPr>
          <w:rFonts w:asciiTheme="majorHAnsi" w:hAnsiTheme="majorHAnsi" w:cstheme="majorHAnsi"/>
          <w:b/>
          <w:bCs/>
          <w:color w:val="222222"/>
          <w:shd w:val="clear" w:color="auto" w:fill="FFFFFF"/>
        </w:rPr>
      </w:pPr>
      <w:r w:rsidRPr="003E45EA">
        <w:rPr>
          <w:rFonts w:asciiTheme="majorHAnsi" w:hAnsiTheme="majorHAnsi" w:cstheme="majorHAnsi"/>
          <w:b/>
          <w:bCs/>
          <w:color w:val="222222"/>
          <w:shd w:val="clear" w:color="auto" w:fill="FFFFFF"/>
        </w:rPr>
        <w:t xml:space="preserve">Domestic </w:t>
      </w:r>
      <w:r w:rsidR="003B20F9" w:rsidRPr="003E45EA">
        <w:rPr>
          <w:rFonts w:asciiTheme="majorHAnsi" w:hAnsiTheme="majorHAnsi" w:cstheme="majorHAnsi"/>
          <w:b/>
          <w:bCs/>
          <w:color w:val="222222"/>
          <w:shd w:val="clear" w:color="auto" w:fill="FFFFFF"/>
        </w:rPr>
        <w:t xml:space="preserve">Bond </w:t>
      </w:r>
      <w:r w:rsidRPr="003E45EA">
        <w:rPr>
          <w:rFonts w:asciiTheme="majorHAnsi" w:hAnsiTheme="majorHAnsi" w:cstheme="majorHAnsi"/>
          <w:b/>
          <w:bCs/>
          <w:color w:val="222222"/>
          <w:shd w:val="clear" w:color="auto" w:fill="FFFFFF"/>
        </w:rPr>
        <w:t>Markets</w:t>
      </w:r>
    </w:p>
    <w:p w14:paraId="468B95DB" w14:textId="08532EB9" w:rsidR="000A08BF" w:rsidRPr="003E45EA" w:rsidRDefault="00EF1357" w:rsidP="00A352A1">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For Australia, t</w:t>
      </w:r>
      <w:r w:rsidR="00A352A1" w:rsidRPr="003E45EA">
        <w:rPr>
          <w:rFonts w:asciiTheme="majorHAnsi" w:hAnsiTheme="majorHAnsi" w:cstheme="majorHAnsi"/>
          <w:color w:val="222222"/>
          <w:shd w:val="clear" w:color="auto" w:fill="FFFFFF"/>
        </w:rPr>
        <w:t xml:space="preserve">he latest inflation prints for (year-on-year) </w:t>
      </w:r>
      <w:r w:rsidR="002D4FBF" w:rsidRPr="003E45EA">
        <w:rPr>
          <w:rFonts w:asciiTheme="majorHAnsi" w:hAnsiTheme="majorHAnsi" w:cstheme="majorHAnsi"/>
          <w:color w:val="222222"/>
          <w:shd w:val="clear" w:color="auto" w:fill="FFFFFF"/>
        </w:rPr>
        <w:t>first</w:t>
      </w:r>
      <w:r w:rsidR="00A352A1" w:rsidRPr="003E45EA">
        <w:rPr>
          <w:rFonts w:asciiTheme="majorHAnsi" w:hAnsiTheme="majorHAnsi" w:cstheme="majorHAnsi"/>
          <w:color w:val="222222"/>
          <w:shd w:val="clear" w:color="auto" w:fill="FFFFFF"/>
        </w:rPr>
        <w:t xml:space="preserve"> quarter of 202</w:t>
      </w:r>
      <w:r w:rsidR="002D4FBF" w:rsidRPr="003E45EA">
        <w:rPr>
          <w:rFonts w:asciiTheme="majorHAnsi" w:hAnsiTheme="majorHAnsi" w:cstheme="majorHAnsi"/>
          <w:color w:val="222222"/>
          <w:shd w:val="clear" w:color="auto" w:fill="FFFFFF"/>
        </w:rPr>
        <w:t>5</w:t>
      </w:r>
      <w:r w:rsidR="00A352A1" w:rsidRPr="003E45EA">
        <w:rPr>
          <w:rFonts w:asciiTheme="majorHAnsi" w:hAnsiTheme="majorHAnsi" w:cstheme="majorHAnsi"/>
          <w:color w:val="222222"/>
          <w:shd w:val="clear" w:color="auto" w:fill="FFFFFF"/>
        </w:rPr>
        <w:t xml:space="preserve"> </w:t>
      </w:r>
      <w:r w:rsidR="0009096E">
        <w:rPr>
          <w:rFonts w:asciiTheme="majorHAnsi" w:hAnsiTheme="majorHAnsi" w:cstheme="majorHAnsi"/>
          <w:color w:val="222222"/>
          <w:shd w:val="clear" w:color="auto" w:fill="FFFFFF"/>
        </w:rPr>
        <w:t>dropped to</w:t>
      </w:r>
      <w:r w:rsidR="00A352A1" w:rsidRPr="003E45EA">
        <w:rPr>
          <w:rFonts w:asciiTheme="majorHAnsi" w:hAnsiTheme="majorHAnsi" w:cstheme="majorHAnsi"/>
          <w:color w:val="222222"/>
          <w:shd w:val="clear" w:color="auto" w:fill="FFFFFF"/>
        </w:rPr>
        <w:t xml:space="preserve"> </w:t>
      </w:r>
      <w:r w:rsidRPr="003E45EA">
        <w:rPr>
          <w:rFonts w:asciiTheme="majorHAnsi" w:hAnsiTheme="majorHAnsi" w:cstheme="majorHAnsi"/>
          <w:color w:val="222222"/>
          <w:shd w:val="clear" w:color="auto" w:fill="FFFFFF"/>
        </w:rPr>
        <w:t>2</w:t>
      </w:r>
      <w:r w:rsidR="00A352A1" w:rsidRPr="003E45EA">
        <w:rPr>
          <w:rFonts w:asciiTheme="majorHAnsi" w:hAnsiTheme="majorHAnsi" w:cstheme="majorHAnsi"/>
          <w:color w:val="222222"/>
          <w:shd w:val="clear" w:color="auto" w:fill="FFFFFF"/>
        </w:rPr>
        <w:t>.</w:t>
      </w:r>
      <w:r w:rsidR="0009096E">
        <w:rPr>
          <w:rFonts w:asciiTheme="majorHAnsi" w:hAnsiTheme="majorHAnsi" w:cstheme="majorHAnsi"/>
          <w:color w:val="222222"/>
          <w:shd w:val="clear" w:color="auto" w:fill="FFFFFF"/>
        </w:rPr>
        <w:t>1</w:t>
      </w:r>
      <w:r w:rsidR="00A352A1" w:rsidRPr="003E45EA">
        <w:rPr>
          <w:rFonts w:asciiTheme="majorHAnsi" w:hAnsiTheme="majorHAnsi" w:cstheme="majorHAnsi"/>
          <w:color w:val="222222"/>
          <w:shd w:val="clear" w:color="auto" w:fill="FFFFFF"/>
        </w:rPr>
        <w:t xml:space="preserve">% which was </w:t>
      </w:r>
      <w:r w:rsidR="0009096E">
        <w:rPr>
          <w:rFonts w:asciiTheme="majorHAnsi" w:hAnsiTheme="majorHAnsi" w:cstheme="majorHAnsi"/>
          <w:color w:val="222222"/>
          <w:shd w:val="clear" w:color="auto" w:fill="FFFFFF"/>
        </w:rPr>
        <w:t>down</w:t>
      </w:r>
      <w:r w:rsidR="002D4FBF" w:rsidRPr="003E45EA">
        <w:rPr>
          <w:rFonts w:asciiTheme="majorHAnsi" w:hAnsiTheme="majorHAnsi" w:cstheme="majorHAnsi"/>
          <w:color w:val="222222"/>
          <w:shd w:val="clear" w:color="auto" w:fill="FFFFFF"/>
        </w:rPr>
        <w:t xml:space="preserve"> from </w:t>
      </w:r>
      <w:r w:rsidR="00A352A1" w:rsidRPr="003E45EA">
        <w:rPr>
          <w:rFonts w:asciiTheme="majorHAnsi" w:hAnsiTheme="majorHAnsi" w:cstheme="majorHAnsi"/>
          <w:color w:val="222222"/>
          <w:shd w:val="clear" w:color="auto" w:fill="FFFFFF"/>
        </w:rPr>
        <w:t xml:space="preserve">the </w:t>
      </w:r>
      <w:r w:rsidR="0009096E">
        <w:rPr>
          <w:rFonts w:asciiTheme="majorHAnsi" w:hAnsiTheme="majorHAnsi" w:cstheme="majorHAnsi"/>
          <w:color w:val="222222"/>
          <w:shd w:val="clear" w:color="auto" w:fill="FFFFFF"/>
        </w:rPr>
        <w:t>2.4% in the first</w:t>
      </w:r>
      <w:r w:rsidR="00A352A1" w:rsidRPr="003E45EA">
        <w:rPr>
          <w:rFonts w:asciiTheme="majorHAnsi" w:hAnsiTheme="majorHAnsi" w:cstheme="majorHAnsi"/>
          <w:color w:val="222222"/>
          <w:shd w:val="clear" w:color="auto" w:fill="FFFFFF"/>
        </w:rPr>
        <w:t xml:space="preserve"> quarter of 202</w:t>
      </w:r>
      <w:r w:rsidR="0009096E">
        <w:rPr>
          <w:rFonts w:asciiTheme="majorHAnsi" w:hAnsiTheme="majorHAnsi" w:cstheme="majorHAnsi"/>
          <w:color w:val="222222"/>
          <w:shd w:val="clear" w:color="auto" w:fill="FFFFFF"/>
        </w:rPr>
        <w:t>5</w:t>
      </w:r>
      <w:r w:rsidR="00B6680A" w:rsidRPr="003E45EA">
        <w:rPr>
          <w:rFonts w:asciiTheme="majorHAnsi" w:hAnsiTheme="majorHAnsi" w:cstheme="majorHAnsi"/>
          <w:color w:val="222222"/>
          <w:shd w:val="clear" w:color="auto" w:fill="FFFFFF"/>
        </w:rPr>
        <w:t>.</w:t>
      </w:r>
      <w:r w:rsidR="00A352A1" w:rsidRPr="003E45EA">
        <w:rPr>
          <w:rFonts w:asciiTheme="majorHAnsi" w:hAnsiTheme="majorHAnsi" w:cstheme="majorHAnsi"/>
          <w:color w:val="222222"/>
          <w:shd w:val="clear" w:color="auto" w:fill="FFFFFF"/>
        </w:rPr>
        <w:t xml:space="preserve"> </w:t>
      </w:r>
      <w:r w:rsidR="00B6680A" w:rsidRPr="003E45EA">
        <w:rPr>
          <w:rFonts w:asciiTheme="majorHAnsi" w:hAnsiTheme="majorHAnsi" w:cstheme="majorHAnsi"/>
          <w:color w:val="222222"/>
          <w:shd w:val="clear" w:color="auto" w:fill="FFFFFF"/>
        </w:rPr>
        <w:t>The RBA board meeting</w:t>
      </w:r>
      <w:r w:rsidR="0009096E">
        <w:rPr>
          <w:rFonts w:asciiTheme="majorHAnsi" w:hAnsiTheme="majorHAnsi" w:cstheme="majorHAnsi"/>
          <w:color w:val="222222"/>
          <w:shd w:val="clear" w:color="auto" w:fill="FFFFFF"/>
        </w:rPr>
        <w:t xml:space="preserve"> held on </w:t>
      </w:r>
      <w:r w:rsidR="00E12F77" w:rsidRPr="003E45EA">
        <w:rPr>
          <w:rFonts w:asciiTheme="majorHAnsi" w:hAnsiTheme="majorHAnsi" w:cstheme="majorHAnsi"/>
          <w:color w:val="222222"/>
          <w:shd w:val="clear" w:color="auto" w:fill="FFFFFF"/>
        </w:rPr>
        <w:t>11</w:t>
      </w:r>
      <w:r w:rsidR="000A08BF" w:rsidRPr="003E45EA">
        <w:rPr>
          <w:rFonts w:asciiTheme="majorHAnsi" w:hAnsiTheme="majorHAnsi" w:cstheme="majorHAnsi"/>
          <w:color w:val="222222"/>
          <w:shd w:val="clear" w:color="auto" w:fill="FFFFFF"/>
        </w:rPr>
        <w:t>th</w:t>
      </w:r>
      <w:r w:rsidR="006D1011" w:rsidRPr="003E45EA">
        <w:rPr>
          <w:rFonts w:asciiTheme="majorHAnsi" w:hAnsiTheme="majorHAnsi" w:cstheme="majorHAnsi"/>
          <w:color w:val="222222"/>
          <w:shd w:val="clear" w:color="auto" w:fill="FFFFFF"/>
        </w:rPr>
        <w:t>/</w:t>
      </w:r>
      <w:r w:rsidR="00E12F77" w:rsidRPr="003E45EA">
        <w:rPr>
          <w:rFonts w:asciiTheme="majorHAnsi" w:hAnsiTheme="majorHAnsi" w:cstheme="majorHAnsi"/>
          <w:color w:val="222222"/>
          <w:shd w:val="clear" w:color="auto" w:fill="FFFFFF"/>
        </w:rPr>
        <w:t>12</w:t>
      </w:r>
      <w:r w:rsidR="006D1011" w:rsidRPr="003E45EA">
        <w:rPr>
          <w:rFonts w:asciiTheme="majorHAnsi" w:hAnsiTheme="majorHAnsi" w:cstheme="majorHAnsi"/>
          <w:color w:val="222222"/>
          <w:shd w:val="clear" w:color="auto" w:fill="FFFFFF"/>
        </w:rPr>
        <w:t xml:space="preserve">th </w:t>
      </w:r>
      <w:r w:rsidR="00E12F77" w:rsidRPr="003E45EA">
        <w:rPr>
          <w:rFonts w:asciiTheme="majorHAnsi" w:hAnsiTheme="majorHAnsi" w:cstheme="majorHAnsi"/>
          <w:color w:val="222222"/>
          <w:shd w:val="clear" w:color="auto" w:fill="FFFFFF"/>
        </w:rPr>
        <w:t>August</w:t>
      </w:r>
      <w:r w:rsidR="00B6680A" w:rsidRPr="003E45EA">
        <w:rPr>
          <w:rFonts w:asciiTheme="majorHAnsi" w:hAnsiTheme="majorHAnsi" w:cstheme="majorHAnsi"/>
          <w:color w:val="222222"/>
          <w:shd w:val="clear" w:color="auto" w:fill="FFFFFF"/>
        </w:rPr>
        <w:t xml:space="preserve"> 2025</w:t>
      </w:r>
      <w:r w:rsidR="0009096E">
        <w:rPr>
          <w:rFonts w:asciiTheme="majorHAnsi" w:hAnsiTheme="majorHAnsi" w:cstheme="majorHAnsi"/>
          <w:color w:val="222222"/>
          <w:shd w:val="clear" w:color="auto" w:fill="FFFFFF"/>
        </w:rPr>
        <w:t xml:space="preserve"> saw a </w:t>
      </w:r>
      <w:r w:rsidR="0009096E" w:rsidRPr="0009096E">
        <w:rPr>
          <w:rFonts w:asciiTheme="majorHAnsi" w:hAnsiTheme="majorHAnsi" w:cstheme="majorHAnsi"/>
          <w:b/>
          <w:bCs/>
          <w:color w:val="222222"/>
          <w:shd w:val="clear" w:color="auto" w:fill="FFFFFF"/>
        </w:rPr>
        <w:t>reduction in the target cash rate by 0.25% to 3.60%</w:t>
      </w:r>
      <w:r w:rsidR="0009096E">
        <w:rPr>
          <w:rFonts w:asciiTheme="majorHAnsi" w:hAnsiTheme="majorHAnsi" w:cstheme="majorHAnsi"/>
          <w:color w:val="222222"/>
          <w:shd w:val="clear" w:color="auto" w:fill="FFFFFF"/>
        </w:rPr>
        <w:t xml:space="preserve"> from 3.85%</w:t>
      </w:r>
      <w:r w:rsidR="00B6680A" w:rsidRPr="003E45EA">
        <w:rPr>
          <w:rFonts w:asciiTheme="majorHAnsi" w:hAnsiTheme="majorHAnsi" w:cstheme="majorHAnsi"/>
          <w:color w:val="222222"/>
          <w:shd w:val="clear" w:color="auto" w:fill="FFFFFF"/>
        </w:rPr>
        <w:t xml:space="preserve">. </w:t>
      </w:r>
      <w:r w:rsidR="0009096E">
        <w:rPr>
          <w:rFonts w:asciiTheme="majorHAnsi" w:hAnsiTheme="majorHAnsi" w:cstheme="majorHAnsi"/>
          <w:color w:val="222222"/>
          <w:shd w:val="clear" w:color="auto" w:fill="FFFFFF"/>
        </w:rPr>
        <w:t xml:space="preserve">The next RBA Monetary Policy meeting is due on the </w:t>
      </w:r>
      <w:r w:rsidR="008E2EF3" w:rsidRPr="008E2EF3">
        <w:rPr>
          <w:rFonts w:asciiTheme="majorHAnsi" w:hAnsiTheme="majorHAnsi" w:cstheme="majorHAnsi"/>
          <w:b/>
          <w:bCs/>
          <w:color w:val="222222"/>
          <w:shd w:val="clear" w:color="auto" w:fill="FFFFFF"/>
        </w:rPr>
        <w:t>29</w:t>
      </w:r>
      <w:r w:rsidR="008E2EF3" w:rsidRPr="008E2EF3">
        <w:rPr>
          <w:rFonts w:asciiTheme="majorHAnsi" w:hAnsiTheme="majorHAnsi" w:cstheme="majorHAnsi"/>
          <w:b/>
          <w:bCs/>
          <w:color w:val="222222"/>
          <w:shd w:val="clear" w:color="auto" w:fill="FFFFFF"/>
          <w:vertAlign w:val="superscript"/>
        </w:rPr>
        <w:t>th</w:t>
      </w:r>
      <w:r w:rsidR="008E2EF3" w:rsidRPr="008E2EF3">
        <w:rPr>
          <w:rFonts w:asciiTheme="majorHAnsi" w:hAnsiTheme="majorHAnsi" w:cstheme="majorHAnsi"/>
          <w:b/>
          <w:bCs/>
          <w:color w:val="222222"/>
          <w:shd w:val="clear" w:color="auto" w:fill="FFFFFF"/>
        </w:rPr>
        <w:t>/30</w:t>
      </w:r>
      <w:r w:rsidR="008E2EF3" w:rsidRPr="008E2EF3">
        <w:rPr>
          <w:rFonts w:asciiTheme="majorHAnsi" w:hAnsiTheme="majorHAnsi" w:cstheme="majorHAnsi"/>
          <w:b/>
          <w:bCs/>
          <w:color w:val="222222"/>
          <w:shd w:val="clear" w:color="auto" w:fill="FFFFFF"/>
          <w:vertAlign w:val="superscript"/>
        </w:rPr>
        <w:t>th</w:t>
      </w:r>
      <w:r w:rsidR="008E2EF3" w:rsidRPr="008E2EF3">
        <w:rPr>
          <w:rFonts w:asciiTheme="majorHAnsi" w:hAnsiTheme="majorHAnsi" w:cstheme="majorHAnsi"/>
          <w:b/>
          <w:bCs/>
          <w:color w:val="222222"/>
          <w:shd w:val="clear" w:color="auto" w:fill="FFFFFF"/>
        </w:rPr>
        <w:t xml:space="preserve"> September 2025</w:t>
      </w:r>
      <w:r w:rsidR="008E2EF3">
        <w:rPr>
          <w:rFonts w:asciiTheme="majorHAnsi" w:hAnsiTheme="majorHAnsi" w:cstheme="majorHAnsi"/>
          <w:color w:val="222222"/>
          <w:shd w:val="clear" w:color="auto" w:fill="FFFFFF"/>
        </w:rPr>
        <w:t>.</w:t>
      </w:r>
    </w:p>
    <w:p w14:paraId="31DAAEE4" w14:textId="1A68354D" w:rsidR="00F67D7A" w:rsidRPr="003E45EA" w:rsidRDefault="009C0672" w:rsidP="006E2589">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D</w:t>
      </w:r>
      <w:r w:rsidR="00A352A1" w:rsidRPr="003E45EA">
        <w:rPr>
          <w:rFonts w:asciiTheme="majorHAnsi" w:hAnsiTheme="majorHAnsi" w:cstheme="majorHAnsi"/>
          <w:color w:val="222222"/>
          <w:shd w:val="clear" w:color="auto" w:fill="FFFFFF"/>
        </w:rPr>
        <w:t xml:space="preserve">omestic house prices </w:t>
      </w:r>
      <w:r w:rsidR="00806607" w:rsidRPr="003E45EA">
        <w:rPr>
          <w:rFonts w:asciiTheme="majorHAnsi" w:hAnsiTheme="majorHAnsi" w:cstheme="majorHAnsi"/>
          <w:color w:val="222222"/>
          <w:shd w:val="clear" w:color="auto" w:fill="FFFFFF"/>
        </w:rPr>
        <w:t>held their ground</w:t>
      </w:r>
      <w:r w:rsidR="00210AED" w:rsidRPr="003E45EA">
        <w:rPr>
          <w:rFonts w:asciiTheme="majorHAnsi" w:hAnsiTheme="majorHAnsi" w:cstheme="majorHAnsi"/>
          <w:color w:val="222222"/>
          <w:shd w:val="clear" w:color="auto" w:fill="FFFFFF"/>
        </w:rPr>
        <w:t xml:space="preserve"> </w:t>
      </w:r>
      <w:r w:rsidRPr="003E45EA">
        <w:rPr>
          <w:rFonts w:asciiTheme="majorHAnsi" w:hAnsiTheme="majorHAnsi" w:cstheme="majorHAnsi"/>
          <w:color w:val="222222"/>
          <w:shd w:val="clear" w:color="auto" w:fill="FFFFFF"/>
        </w:rPr>
        <w:t>boosted by the prospect of lower interest rates down the track. Since the RBA held the target cash rate steady, house prices have continued to be firm.</w:t>
      </w:r>
      <w:r w:rsidR="00210AED" w:rsidRPr="003E45EA">
        <w:rPr>
          <w:rFonts w:asciiTheme="majorHAnsi" w:hAnsiTheme="majorHAnsi" w:cstheme="majorHAnsi"/>
          <w:color w:val="222222"/>
          <w:shd w:val="clear" w:color="auto" w:fill="FFFFFF"/>
        </w:rPr>
        <w:t xml:space="preserve"> </w:t>
      </w:r>
    </w:p>
    <w:p w14:paraId="13AD9698" w14:textId="6D5181DF" w:rsidR="00A352A1" w:rsidRPr="003E45EA" w:rsidRDefault="00F67D7A" w:rsidP="006E2589">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 xml:space="preserve">The first half of </w:t>
      </w:r>
      <w:r w:rsidR="00210AED" w:rsidRPr="003E45EA">
        <w:rPr>
          <w:rFonts w:asciiTheme="majorHAnsi" w:hAnsiTheme="majorHAnsi" w:cstheme="majorHAnsi"/>
          <w:color w:val="222222"/>
          <w:shd w:val="clear" w:color="auto" w:fill="FFFFFF"/>
        </w:rPr>
        <w:t xml:space="preserve">2025 </w:t>
      </w:r>
      <w:r w:rsidR="00457A4B" w:rsidRPr="003E45EA">
        <w:rPr>
          <w:rFonts w:asciiTheme="majorHAnsi" w:hAnsiTheme="majorHAnsi" w:cstheme="majorHAnsi"/>
          <w:color w:val="222222"/>
          <w:shd w:val="clear" w:color="auto" w:fill="FFFFFF"/>
        </w:rPr>
        <w:t>has proven to be</w:t>
      </w:r>
      <w:r w:rsidR="00A352A1" w:rsidRPr="003E45EA">
        <w:rPr>
          <w:rFonts w:asciiTheme="majorHAnsi" w:hAnsiTheme="majorHAnsi" w:cstheme="majorHAnsi"/>
          <w:color w:val="222222"/>
          <w:shd w:val="clear" w:color="auto" w:fill="FFFFFF"/>
        </w:rPr>
        <w:t xml:space="preserve"> </w:t>
      </w:r>
      <w:r w:rsidR="003006BF" w:rsidRPr="003E45EA">
        <w:rPr>
          <w:rFonts w:asciiTheme="majorHAnsi" w:hAnsiTheme="majorHAnsi" w:cstheme="majorHAnsi"/>
          <w:color w:val="222222"/>
          <w:shd w:val="clear" w:color="auto" w:fill="FFFFFF"/>
        </w:rPr>
        <w:t>challenging; however,</w:t>
      </w:r>
      <w:r w:rsidR="00A352A1" w:rsidRPr="003E45EA">
        <w:rPr>
          <w:rFonts w:asciiTheme="majorHAnsi" w:hAnsiTheme="majorHAnsi" w:cstheme="majorHAnsi"/>
          <w:color w:val="222222"/>
          <w:shd w:val="clear" w:color="auto" w:fill="FFFFFF"/>
        </w:rPr>
        <w:t xml:space="preserve"> the broader economy </w:t>
      </w:r>
      <w:r w:rsidR="00584C81" w:rsidRPr="003E45EA">
        <w:rPr>
          <w:rFonts w:asciiTheme="majorHAnsi" w:hAnsiTheme="majorHAnsi" w:cstheme="majorHAnsi"/>
          <w:color w:val="222222"/>
          <w:shd w:val="clear" w:color="auto" w:fill="FFFFFF"/>
        </w:rPr>
        <w:t>is</w:t>
      </w:r>
      <w:r w:rsidR="00A352A1" w:rsidRPr="003E45EA">
        <w:rPr>
          <w:rFonts w:asciiTheme="majorHAnsi" w:hAnsiTheme="majorHAnsi" w:cstheme="majorHAnsi"/>
          <w:color w:val="222222"/>
          <w:shd w:val="clear" w:color="auto" w:fill="FFFFFF"/>
        </w:rPr>
        <w:t xml:space="preserve"> weathering the storm well given the mixed support from </w:t>
      </w:r>
      <w:r w:rsidRPr="003E45EA">
        <w:rPr>
          <w:rFonts w:asciiTheme="majorHAnsi" w:hAnsiTheme="majorHAnsi" w:cstheme="majorHAnsi"/>
          <w:color w:val="222222"/>
          <w:shd w:val="clear" w:color="auto" w:fill="FFFFFF"/>
        </w:rPr>
        <w:t>moderating</w:t>
      </w:r>
      <w:r w:rsidR="00A352A1" w:rsidRPr="003E45EA">
        <w:rPr>
          <w:rFonts w:asciiTheme="majorHAnsi" w:hAnsiTheme="majorHAnsi" w:cstheme="majorHAnsi"/>
          <w:color w:val="222222"/>
          <w:shd w:val="clear" w:color="auto" w:fill="FFFFFF"/>
        </w:rPr>
        <w:t xml:space="preserve"> immigration levels and the st</w:t>
      </w:r>
      <w:r w:rsidRPr="003E45EA">
        <w:rPr>
          <w:rFonts w:asciiTheme="majorHAnsi" w:hAnsiTheme="majorHAnsi" w:cstheme="majorHAnsi"/>
          <w:color w:val="222222"/>
          <w:shd w:val="clear" w:color="auto" w:fill="FFFFFF"/>
        </w:rPr>
        <w:t>able</w:t>
      </w:r>
      <w:r w:rsidR="00A352A1" w:rsidRPr="003E45EA">
        <w:rPr>
          <w:rFonts w:asciiTheme="majorHAnsi" w:hAnsiTheme="majorHAnsi" w:cstheme="majorHAnsi"/>
          <w:color w:val="222222"/>
          <w:shd w:val="clear" w:color="auto" w:fill="FFFFFF"/>
        </w:rPr>
        <w:t xml:space="preserve"> level of employment with unemployment </w:t>
      </w:r>
      <w:r w:rsidR="009C0672" w:rsidRPr="003E45EA">
        <w:rPr>
          <w:rFonts w:asciiTheme="majorHAnsi" w:hAnsiTheme="majorHAnsi" w:cstheme="majorHAnsi"/>
          <w:color w:val="222222"/>
          <w:shd w:val="clear" w:color="auto" w:fill="FFFFFF"/>
        </w:rPr>
        <w:t>edging higher to</w:t>
      </w:r>
      <w:r w:rsidR="00363E96" w:rsidRPr="003E45EA">
        <w:rPr>
          <w:rFonts w:asciiTheme="majorHAnsi" w:hAnsiTheme="majorHAnsi" w:cstheme="majorHAnsi"/>
          <w:color w:val="222222"/>
          <w:shd w:val="clear" w:color="auto" w:fill="FFFFFF"/>
        </w:rPr>
        <w:t xml:space="preserve"> </w:t>
      </w:r>
      <w:r w:rsidR="008E4335" w:rsidRPr="003E45EA">
        <w:rPr>
          <w:rFonts w:asciiTheme="majorHAnsi" w:hAnsiTheme="majorHAnsi" w:cstheme="majorHAnsi"/>
          <w:color w:val="222222"/>
          <w:shd w:val="clear" w:color="auto" w:fill="FFFFFF"/>
        </w:rPr>
        <w:t>4.</w:t>
      </w:r>
      <w:r w:rsidR="009C0672" w:rsidRPr="003E45EA">
        <w:rPr>
          <w:rFonts w:asciiTheme="majorHAnsi" w:hAnsiTheme="majorHAnsi" w:cstheme="majorHAnsi"/>
          <w:color w:val="222222"/>
          <w:shd w:val="clear" w:color="auto" w:fill="FFFFFF"/>
        </w:rPr>
        <w:t>3</w:t>
      </w:r>
      <w:r w:rsidR="00363E96" w:rsidRPr="003E45EA">
        <w:rPr>
          <w:rFonts w:asciiTheme="majorHAnsi" w:hAnsiTheme="majorHAnsi" w:cstheme="majorHAnsi"/>
          <w:color w:val="222222"/>
          <w:shd w:val="clear" w:color="auto" w:fill="FFFFFF"/>
        </w:rPr>
        <w:t xml:space="preserve">% in </w:t>
      </w:r>
      <w:r w:rsidR="009C0672" w:rsidRPr="003E45EA">
        <w:rPr>
          <w:rFonts w:asciiTheme="majorHAnsi" w:hAnsiTheme="majorHAnsi" w:cstheme="majorHAnsi"/>
          <w:color w:val="222222"/>
          <w:shd w:val="clear" w:color="auto" w:fill="FFFFFF"/>
        </w:rPr>
        <w:t>June</w:t>
      </w:r>
      <w:r w:rsidR="00363E96" w:rsidRPr="003E45EA">
        <w:rPr>
          <w:rFonts w:asciiTheme="majorHAnsi" w:hAnsiTheme="majorHAnsi" w:cstheme="majorHAnsi"/>
          <w:color w:val="222222"/>
          <w:shd w:val="clear" w:color="auto" w:fill="FFFFFF"/>
        </w:rPr>
        <w:t xml:space="preserve"> 202</w:t>
      </w:r>
      <w:r w:rsidR="00741B8E" w:rsidRPr="003E45EA">
        <w:rPr>
          <w:rFonts w:asciiTheme="majorHAnsi" w:hAnsiTheme="majorHAnsi" w:cstheme="majorHAnsi"/>
          <w:color w:val="222222"/>
          <w:shd w:val="clear" w:color="auto" w:fill="FFFFFF"/>
        </w:rPr>
        <w:t>5</w:t>
      </w:r>
      <w:r w:rsidR="00806607" w:rsidRPr="003E45EA">
        <w:rPr>
          <w:rFonts w:asciiTheme="majorHAnsi" w:hAnsiTheme="majorHAnsi" w:cstheme="majorHAnsi"/>
          <w:color w:val="222222"/>
          <w:shd w:val="clear" w:color="auto" w:fill="FFFFFF"/>
        </w:rPr>
        <w:t>.</w:t>
      </w:r>
    </w:p>
    <w:p w14:paraId="1FE00E12" w14:textId="77777777" w:rsidR="00D51503" w:rsidRPr="00D51503" w:rsidRDefault="00457A4B" w:rsidP="00D51503">
      <w:pPr>
        <w:ind w:left="720"/>
        <w:rPr>
          <w:rFonts w:asciiTheme="majorHAnsi" w:hAnsiTheme="majorHAnsi" w:cstheme="majorHAnsi"/>
          <w:i/>
          <w:iCs/>
          <w:color w:val="222222"/>
          <w:shd w:val="clear" w:color="auto" w:fill="FFFFFF"/>
        </w:rPr>
      </w:pPr>
      <w:r w:rsidRPr="003E45EA">
        <w:rPr>
          <w:rFonts w:asciiTheme="majorHAnsi" w:hAnsiTheme="majorHAnsi" w:cstheme="majorHAnsi"/>
          <w:i/>
          <w:iCs/>
          <w:color w:val="222222"/>
          <w:shd w:val="clear" w:color="auto" w:fill="FFFFFF"/>
        </w:rPr>
        <w:t>“</w:t>
      </w:r>
      <w:r w:rsidR="00D51503" w:rsidRPr="00D51503">
        <w:rPr>
          <w:rFonts w:asciiTheme="majorHAnsi" w:hAnsiTheme="majorHAnsi" w:cstheme="majorHAnsi"/>
          <w:i/>
          <w:iCs/>
          <w:color w:val="222222"/>
          <w:shd w:val="clear" w:color="auto" w:fill="FFFFFF"/>
        </w:rPr>
        <w:t>There are uncertainties about the outlook for domestic economic activity and inflation stemming from both domestic and international developments. The forecasts released today are for the recovery in household consumption growth to be sustained as real incomes rise. Businesses in some sectors, however, continue to report that weakness in demand is making it difficult to pass on cost increases to final prices. There is a risk that consumption growth is a little slower than expected, which could weigh on growth in aggregate demand and lead to weaker labour market conditions. Alternatively, as real incomes and wealth continue to rise, households might choose to consume more and save less than expected. Labour market outcomes may also prove stronger than expected, given the signal from a range of leading indicators.</w:t>
      </w:r>
    </w:p>
    <w:p w14:paraId="36B18A6A" w14:textId="1953412A" w:rsidR="00457A4B" w:rsidRPr="003E45EA" w:rsidRDefault="00D51503" w:rsidP="009240D8">
      <w:pPr>
        <w:ind w:left="720"/>
        <w:rPr>
          <w:rFonts w:asciiTheme="majorHAnsi" w:hAnsiTheme="majorHAnsi" w:cstheme="majorHAnsi"/>
          <w:i/>
          <w:iCs/>
          <w:color w:val="222222"/>
          <w:shd w:val="clear" w:color="auto" w:fill="FFFFFF"/>
        </w:rPr>
      </w:pPr>
      <w:r w:rsidRPr="00D51503">
        <w:rPr>
          <w:rFonts w:asciiTheme="majorHAnsi" w:hAnsiTheme="majorHAnsi" w:cstheme="majorHAnsi"/>
          <w:i/>
          <w:iCs/>
          <w:color w:val="222222"/>
          <w:shd w:val="clear" w:color="auto" w:fill="FFFFFF"/>
        </w:rPr>
        <w:t xml:space="preserve">There are also uncertainties regarding the lags in the effect of recent monetary policy easing and how firms’ pricing decisions and wages will respond to the balance between aggregate demand and potential supply for goods and services, conditions in the labour market and </w:t>
      </w:r>
      <w:r w:rsidRPr="00D51503">
        <w:rPr>
          <w:rFonts w:asciiTheme="majorHAnsi" w:hAnsiTheme="majorHAnsi" w:cstheme="majorHAnsi"/>
          <w:i/>
          <w:iCs/>
          <w:color w:val="222222"/>
          <w:shd w:val="clear" w:color="auto" w:fill="FFFFFF"/>
        </w:rPr>
        <w:lastRenderedPageBreak/>
        <w:t>continued weak productivity outcomes</w:t>
      </w:r>
      <w:r w:rsidR="00457A4B" w:rsidRPr="003E45EA">
        <w:rPr>
          <w:rFonts w:asciiTheme="majorHAnsi" w:hAnsiTheme="majorHAnsi" w:cstheme="majorHAnsi"/>
          <w:i/>
          <w:iCs/>
          <w:color w:val="222222"/>
          <w:shd w:val="clear" w:color="auto" w:fill="FFFFFF"/>
        </w:rPr>
        <w:t xml:space="preserve">“. </w:t>
      </w:r>
      <w:r>
        <w:rPr>
          <w:rFonts w:asciiTheme="majorHAnsi" w:hAnsiTheme="majorHAnsi" w:cstheme="majorHAnsi"/>
          <w:i/>
          <w:iCs/>
          <w:color w:val="222222"/>
          <w:shd w:val="clear" w:color="auto" w:fill="FFFFFF"/>
        </w:rPr>
        <w:t xml:space="preserve">Source: </w:t>
      </w:r>
      <w:r w:rsidR="00457A4B" w:rsidRPr="003E45EA">
        <w:rPr>
          <w:rFonts w:asciiTheme="majorHAnsi" w:hAnsiTheme="majorHAnsi" w:cstheme="majorHAnsi"/>
          <w:i/>
          <w:iCs/>
          <w:color w:val="222222"/>
          <w:shd w:val="clear" w:color="auto" w:fill="FFFFFF"/>
        </w:rPr>
        <w:t xml:space="preserve">Michelle Bullock, Governor, RBA Monetary Policy Board meeting, </w:t>
      </w:r>
      <w:r>
        <w:rPr>
          <w:rFonts w:asciiTheme="majorHAnsi" w:hAnsiTheme="majorHAnsi" w:cstheme="majorHAnsi"/>
          <w:i/>
          <w:iCs/>
          <w:color w:val="222222"/>
          <w:shd w:val="clear" w:color="auto" w:fill="FFFFFF"/>
        </w:rPr>
        <w:t>12</w:t>
      </w:r>
      <w:r w:rsidR="00457A4B" w:rsidRPr="003E45EA">
        <w:rPr>
          <w:rFonts w:asciiTheme="majorHAnsi" w:hAnsiTheme="majorHAnsi" w:cstheme="majorHAnsi"/>
          <w:i/>
          <w:iCs/>
          <w:color w:val="222222"/>
          <w:shd w:val="clear" w:color="auto" w:fill="FFFFFF"/>
        </w:rPr>
        <w:t xml:space="preserve">th </w:t>
      </w:r>
      <w:r>
        <w:rPr>
          <w:rFonts w:asciiTheme="majorHAnsi" w:hAnsiTheme="majorHAnsi" w:cstheme="majorHAnsi"/>
          <w:i/>
          <w:iCs/>
          <w:color w:val="222222"/>
          <w:shd w:val="clear" w:color="auto" w:fill="FFFFFF"/>
        </w:rPr>
        <w:t>August</w:t>
      </w:r>
      <w:r w:rsidR="00457A4B" w:rsidRPr="003E45EA">
        <w:rPr>
          <w:rFonts w:asciiTheme="majorHAnsi" w:hAnsiTheme="majorHAnsi" w:cstheme="majorHAnsi"/>
          <w:i/>
          <w:iCs/>
          <w:color w:val="222222"/>
          <w:shd w:val="clear" w:color="auto" w:fill="FFFFFF"/>
        </w:rPr>
        <w:t xml:space="preserve"> 2025.</w:t>
      </w:r>
    </w:p>
    <w:p w14:paraId="664A7905" w14:textId="674E070D" w:rsidR="00670AB6" w:rsidRPr="003E45EA" w:rsidRDefault="00670AB6" w:rsidP="00670AB6">
      <w:pPr>
        <w:rPr>
          <w:rFonts w:asciiTheme="majorHAnsi" w:hAnsiTheme="majorHAnsi" w:cstheme="majorHAnsi"/>
          <w:b/>
          <w:bCs/>
        </w:rPr>
      </w:pPr>
      <w:r w:rsidRPr="003E45EA">
        <w:rPr>
          <w:rFonts w:asciiTheme="majorHAnsi" w:hAnsiTheme="majorHAnsi" w:cstheme="majorHAnsi"/>
          <w:b/>
          <w:bCs/>
        </w:rPr>
        <w:t>Asset Class Performance</w:t>
      </w:r>
    </w:p>
    <w:p w14:paraId="4AFC19C3" w14:textId="5316E4BA" w:rsidR="00670AB6" w:rsidRPr="003E45EA" w:rsidRDefault="004D7BB2" w:rsidP="00457A4B">
      <w:pPr>
        <w:rPr>
          <w:rFonts w:asciiTheme="majorHAnsi" w:hAnsiTheme="majorHAnsi" w:cstheme="majorHAnsi"/>
          <w:b/>
          <w:bCs/>
          <w:color w:val="222222"/>
          <w:shd w:val="clear" w:color="auto" w:fill="FFFFFF"/>
        </w:rPr>
      </w:pPr>
      <w:r w:rsidRPr="004D7BB2">
        <w:rPr>
          <w:rFonts w:asciiTheme="majorHAnsi" w:hAnsiTheme="majorHAnsi" w:cstheme="majorHAnsi"/>
          <w:b/>
          <w:bCs/>
          <w:noProof/>
          <w:color w:val="222222"/>
          <w:shd w:val="clear" w:color="auto" w:fill="FFFFFF"/>
        </w:rPr>
        <w:drawing>
          <wp:inline distT="0" distB="0" distL="0" distR="0" wp14:anchorId="157B1CE8" wp14:editId="6F9A851A">
            <wp:extent cx="5731510" cy="3514725"/>
            <wp:effectExtent l="0" t="0" r="2540" b="9525"/>
            <wp:docPr id="168302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14725"/>
                    </a:xfrm>
                    <a:prstGeom prst="rect">
                      <a:avLst/>
                    </a:prstGeom>
                    <a:noFill/>
                    <a:ln>
                      <a:noFill/>
                    </a:ln>
                  </pic:spPr>
                </pic:pic>
              </a:graphicData>
            </a:graphic>
          </wp:inline>
        </w:drawing>
      </w:r>
    </w:p>
    <w:p w14:paraId="2F4C91E7" w14:textId="6866EC3E" w:rsidR="00670AB6" w:rsidRPr="003E45EA" w:rsidRDefault="00670AB6" w:rsidP="00670AB6">
      <w:pPr>
        <w:jc w:val="center"/>
        <w:rPr>
          <w:rFonts w:asciiTheme="majorHAnsi" w:hAnsiTheme="majorHAnsi" w:cstheme="majorHAnsi"/>
        </w:rPr>
      </w:pPr>
      <w:r w:rsidRPr="003E45EA">
        <w:rPr>
          <w:rFonts w:asciiTheme="majorHAnsi" w:hAnsiTheme="majorHAnsi" w:cstheme="majorHAnsi"/>
        </w:rPr>
        <w:t>Data Source: Lonsec as of 30</w:t>
      </w:r>
      <w:r w:rsidRPr="003E45EA">
        <w:rPr>
          <w:rFonts w:asciiTheme="majorHAnsi" w:hAnsiTheme="majorHAnsi" w:cstheme="majorHAnsi"/>
          <w:vertAlign w:val="superscript"/>
        </w:rPr>
        <w:t>th</w:t>
      </w:r>
      <w:r w:rsidRPr="003E45EA">
        <w:rPr>
          <w:rFonts w:asciiTheme="majorHAnsi" w:hAnsiTheme="majorHAnsi" w:cstheme="majorHAnsi"/>
        </w:rPr>
        <w:t xml:space="preserve"> </w:t>
      </w:r>
      <w:r w:rsidR="00330989">
        <w:rPr>
          <w:rFonts w:asciiTheme="majorHAnsi" w:hAnsiTheme="majorHAnsi" w:cstheme="majorHAnsi"/>
        </w:rPr>
        <w:t>August</w:t>
      </w:r>
      <w:r w:rsidRPr="003E45EA">
        <w:rPr>
          <w:rFonts w:asciiTheme="majorHAnsi" w:hAnsiTheme="majorHAnsi" w:cstheme="majorHAnsi"/>
          <w:vertAlign w:val="superscript"/>
        </w:rPr>
        <w:t xml:space="preserve"> </w:t>
      </w:r>
      <w:r w:rsidRPr="003E45EA">
        <w:rPr>
          <w:rFonts w:asciiTheme="majorHAnsi" w:hAnsiTheme="majorHAnsi" w:cstheme="majorHAnsi"/>
        </w:rPr>
        <w:t>2025 &amp; Fox Asset Management</w:t>
      </w:r>
    </w:p>
    <w:p w14:paraId="307262FF" w14:textId="77777777" w:rsidR="00670AB6" w:rsidRPr="003E45EA" w:rsidRDefault="00670AB6" w:rsidP="00A352A1">
      <w:pPr>
        <w:rPr>
          <w:rFonts w:asciiTheme="majorHAnsi" w:hAnsiTheme="majorHAnsi" w:cstheme="majorHAnsi"/>
        </w:rPr>
      </w:pPr>
    </w:p>
    <w:p w14:paraId="10DF274C" w14:textId="77777777" w:rsidR="003E45EA" w:rsidRPr="003E45EA" w:rsidRDefault="003E45EA" w:rsidP="00A352A1">
      <w:pPr>
        <w:rPr>
          <w:rFonts w:asciiTheme="majorHAnsi" w:hAnsiTheme="majorHAnsi" w:cstheme="majorHAnsi"/>
          <w:b/>
          <w:bCs/>
        </w:rPr>
      </w:pPr>
    </w:p>
    <w:p w14:paraId="1FA26780" w14:textId="77777777" w:rsidR="003E45EA" w:rsidRDefault="003E45EA" w:rsidP="00A352A1">
      <w:pPr>
        <w:rPr>
          <w:rFonts w:asciiTheme="majorHAnsi" w:hAnsiTheme="majorHAnsi" w:cstheme="majorHAnsi"/>
          <w:b/>
          <w:bCs/>
        </w:rPr>
      </w:pPr>
    </w:p>
    <w:p w14:paraId="5161342D" w14:textId="77777777" w:rsidR="00636FBD" w:rsidRDefault="00636FBD" w:rsidP="00A352A1">
      <w:pPr>
        <w:rPr>
          <w:rFonts w:asciiTheme="majorHAnsi" w:hAnsiTheme="majorHAnsi" w:cstheme="majorHAnsi"/>
          <w:b/>
          <w:bCs/>
        </w:rPr>
      </w:pPr>
    </w:p>
    <w:p w14:paraId="4CD1821F" w14:textId="77777777" w:rsidR="00636FBD" w:rsidRDefault="00636FBD" w:rsidP="00A352A1">
      <w:pPr>
        <w:rPr>
          <w:rFonts w:asciiTheme="majorHAnsi" w:hAnsiTheme="majorHAnsi" w:cstheme="majorHAnsi"/>
          <w:b/>
          <w:bCs/>
        </w:rPr>
      </w:pPr>
    </w:p>
    <w:p w14:paraId="037A1ABC" w14:textId="77777777" w:rsidR="00636FBD" w:rsidRPr="003E45EA" w:rsidRDefault="00636FBD" w:rsidP="00A352A1">
      <w:pPr>
        <w:rPr>
          <w:rFonts w:asciiTheme="majorHAnsi" w:hAnsiTheme="majorHAnsi" w:cstheme="majorHAnsi"/>
          <w:b/>
          <w:bCs/>
        </w:rPr>
      </w:pPr>
    </w:p>
    <w:p w14:paraId="49F3DF60" w14:textId="77777777" w:rsidR="003E45EA" w:rsidRPr="003E45EA" w:rsidRDefault="003E45EA" w:rsidP="00A352A1">
      <w:pPr>
        <w:rPr>
          <w:rFonts w:asciiTheme="majorHAnsi" w:hAnsiTheme="majorHAnsi" w:cstheme="majorHAnsi"/>
          <w:b/>
          <w:bCs/>
        </w:rPr>
      </w:pPr>
    </w:p>
    <w:p w14:paraId="7CFAF6AC" w14:textId="77777777" w:rsidR="003E45EA" w:rsidRPr="003E45EA" w:rsidRDefault="003E45EA" w:rsidP="00A352A1">
      <w:pPr>
        <w:rPr>
          <w:rFonts w:asciiTheme="majorHAnsi" w:hAnsiTheme="majorHAnsi" w:cstheme="majorHAnsi"/>
          <w:b/>
          <w:bCs/>
        </w:rPr>
      </w:pPr>
    </w:p>
    <w:p w14:paraId="2DF0D2C0" w14:textId="77777777" w:rsidR="003E45EA" w:rsidRDefault="003E45EA" w:rsidP="00A352A1">
      <w:pPr>
        <w:rPr>
          <w:rFonts w:asciiTheme="majorHAnsi" w:hAnsiTheme="majorHAnsi" w:cstheme="majorHAnsi"/>
          <w:b/>
          <w:bCs/>
        </w:rPr>
      </w:pPr>
    </w:p>
    <w:p w14:paraId="5E1B7A78" w14:textId="77777777" w:rsidR="004D7BB2" w:rsidRDefault="004D7BB2" w:rsidP="00A352A1">
      <w:pPr>
        <w:rPr>
          <w:rFonts w:asciiTheme="majorHAnsi" w:hAnsiTheme="majorHAnsi" w:cstheme="majorHAnsi"/>
          <w:b/>
          <w:bCs/>
        </w:rPr>
      </w:pPr>
    </w:p>
    <w:p w14:paraId="0FB97D99" w14:textId="77777777" w:rsidR="004D7BB2" w:rsidRPr="003E45EA" w:rsidRDefault="004D7BB2" w:rsidP="00A352A1">
      <w:pPr>
        <w:rPr>
          <w:rFonts w:asciiTheme="majorHAnsi" w:hAnsiTheme="majorHAnsi" w:cstheme="majorHAnsi"/>
          <w:b/>
          <w:bCs/>
        </w:rPr>
      </w:pPr>
    </w:p>
    <w:p w14:paraId="3D4108B4" w14:textId="5A8A23DE" w:rsidR="00670AB6" w:rsidRPr="003E45EA" w:rsidRDefault="00670AB6" w:rsidP="00A352A1">
      <w:pPr>
        <w:rPr>
          <w:rFonts w:asciiTheme="majorHAnsi" w:hAnsiTheme="majorHAnsi" w:cstheme="majorHAnsi"/>
          <w:b/>
          <w:bCs/>
        </w:rPr>
      </w:pPr>
      <w:r w:rsidRPr="003E45EA">
        <w:rPr>
          <w:rFonts w:asciiTheme="majorHAnsi" w:hAnsiTheme="majorHAnsi" w:cstheme="majorHAnsi"/>
          <w:b/>
          <w:bCs/>
        </w:rPr>
        <w:lastRenderedPageBreak/>
        <w:t>Risk and Return</w:t>
      </w:r>
    </w:p>
    <w:p w14:paraId="6E761528" w14:textId="0BBF197A" w:rsidR="00A352A1" w:rsidRPr="003E45EA" w:rsidRDefault="00A352A1" w:rsidP="00A352A1">
      <w:pPr>
        <w:rPr>
          <w:rFonts w:asciiTheme="majorHAnsi" w:hAnsiTheme="majorHAnsi" w:cstheme="majorHAnsi"/>
        </w:rPr>
      </w:pPr>
      <w:r w:rsidRPr="003E45EA">
        <w:rPr>
          <w:rFonts w:asciiTheme="majorHAnsi" w:hAnsiTheme="majorHAnsi" w:cstheme="majorHAnsi"/>
        </w:rPr>
        <w:t xml:space="preserve">From a risk return perspective, markets are </w:t>
      </w:r>
      <w:r w:rsidR="00B51B45" w:rsidRPr="003E45EA">
        <w:rPr>
          <w:rFonts w:asciiTheme="majorHAnsi" w:hAnsiTheme="majorHAnsi" w:cstheme="majorHAnsi"/>
        </w:rPr>
        <w:t>mixed</w:t>
      </w:r>
      <w:r w:rsidRPr="003E45EA">
        <w:rPr>
          <w:rFonts w:asciiTheme="majorHAnsi" w:hAnsiTheme="majorHAnsi" w:cstheme="majorHAnsi"/>
        </w:rPr>
        <w:t>:</w:t>
      </w:r>
    </w:p>
    <w:p w14:paraId="43E51706" w14:textId="4CB4F6EF" w:rsidR="00375195" w:rsidRPr="003E45EA" w:rsidRDefault="004D7BB2" w:rsidP="00A87065">
      <w:pPr>
        <w:jc w:val="center"/>
        <w:rPr>
          <w:rFonts w:asciiTheme="majorHAnsi" w:hAnsiTheme="majorHAnsi" w:cstheme="majorHAnsi"/>
        </w:rPr>
      </w:pPr>
      <w:r w:rsidRPr="004D7BB2">
        <w:rPr>
          <w:rFonts w:asciiTheme="majorHAnsi" w:hAnsiTheme="majorHAnsi" w:cstheme="majorHAnsi"/>
          <w:noProof/>
        </w:rPr>
        <w:drawing>
          <wp:inline distT="0" distB="0" distL="0" distR="0" wp14:anchorId="3715D2FE" wp14:editId="4AC0306E">
            <wp:extent cx="5731510" cy="3620770"/>
            <wp:effectExtent l="0" t="0" r="2540" b="0"/>
            <wp:docPr id="1870841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620770"/>
                    </a:xfrm>
                    <a:prstGeom prst="rect">
                      <a:avLst/>
                    </a:prstGeom>
                    <a:noFill/>
                    <a:ln>
                      <a:noFill/>
                    </a:ln>
                  </pic:spPr>
                </pic:pic>
              </a:graphicData>
            </a:graphic>
          </wp:inline>
        </w:drawing>
      </w:r>
    </w:p>
    <w:p w14:paraId="708850CE" w14:textId="08A93CBE" w:rsidR="00D712E9" w:rsidRPr="003E45EA" w:rsidRDefault="00D712E9" w:rsidP="00D712E9">
      <w:pPr>
        <w:rPr>
          <w:rFonts w:asciiTheme="majorHAnsi" w:hAnsiTheme="majorHAnsi" w:cstheme="majorHAnsi"/>
        </w:rPr>
      </w:pPr>
      <w:r w:rsidRPr="003E45EA">
        <w:rPr>
          <w:rFonts w:asciiTheme="majorHAnsi" w:hAnsiTheme="majorHAnsi" w:cstheme="majorHAnsi"/>
        </w:rPr>
        <w:t xml:space="preserve"> </w:t>
      </w:r>
      <w:r w:rsidR="00670AB6" w:rsidRPr="003E45EA">
        <w:rPr>
          <w:rFonts w:asciiTheme="majorHAnsi" w:hAnsiTheme="majorHAnsi" w:cstheme="majorHAnsi"/>
        </w:rPr>
        <w:t xml:space="preserve">    </w:t>
      </w:r>
      <w:r w:rsidRPr="003E45EA">
        <w:rPr>
          <w:rFonts w:asciiTheme="majorHAnsi" w:hAnsiTheme="majorHAnsi" w:cstheme="majorHAnsi"/>
        </w:rPr>
        <w:t xml:space="preserve">Source data: Lonsec as of </w:t>
      </w:r>
      <w:r w:rsidR="005C5CC9" w:rsidRPr="003E45EA">
        <w:rPr>
          <w:rFonts w:asciiTheme="majorHAnsi" w:hAnsiTheme="majorHAnsi" w:cstheme="majorHAnsi"/>
        </w:rPr>
        <w:t>3</w:t>
      </w:r>
      <w:r w:rsidR="005C1AED">
        <w:rPr>
          <w:rFonts w:asciiTheme="majorHAnsi" w:hAnsiTheme="majorHAnsi" w:cstheme="majorHAnsi"/>
        </w:rPr>
        <w:t>1st</w:t>
      </w:r>
      <w:r w:rsidR="009C0672" w:rsidRPr="003E45EA">
        <w:rPr>
          <w:rFonts w:asciiTheme="majorHAnsi" w:hAnsiTheme="majorHAnsi" w:cstheme="majorHAnsi"/>
        </w:rPr>
        <w:t xml:space="preserve"> </w:t>
      </w:r>
      <w:r w:rsidR="004D7BB2">
        <w:rPr>
          <w:rFonts w:asciiTheme="majorHAnsi" w:hAnsiTheme="majorHAnsi" w:cstheme="majorHAnsi"/>
        </w:rPr>
        <w:t>August</w:t>
      </w:r>
      <w:r w:rsidR="00B3221F" w:rsidRPr="003E45EA">
        <w:rPr>
          <w:rFonts w:asciiTheme="majorHAnsi" w:hAnsiTheme="majorHAnsi" w:cstheme="majorHAnsi"/>
        </w:rPr>
        <w:t xml:space="preserve"> </w:t>
      </w:r>
      <w:r w:rsidRPr="003E45EA">
        <w:rPr>
          <w:rFonts w:asciiTheme="majorHAnsi" w:hAnsiTheme="majorHAnsi" w:cstheme="majorHAnsi"/>
        </w:rPr>
        <w:t>202</w:t>
      </w:r>
      <w:r w:rsidR="00B6680A" w:rsidRPr="003E45EA">
        <w:rPr>
          <w:rFonts w:asciiTheme="majorHAnsi" w:hAnsiTheme="majorHAnsi" w:cstheme="majorHAnsi"/>
        </w:rPr>
        <w:t>5</w:t>
      </w:r>
    </w:p>
    <w:p w14:paraId="484D77E5" w14:textId="39E20618" w:rsidR="00115DDA" w:rsidRPr="003E45EA" w:rsidRDefault="00115DDA" w:rsidP="00115DDA">
      <w:pPr>
        <w:rPr>
          <w:rFonts w:asciiTheme="majorHAnsi" w:hAnsiTheme="majorHAnsi" w:cstheme="majorHAnsi"/>
          <w:color w:val="222222"/>
          <w:shd w:val="clear" w:color="auto" w:fill="FFFFFF"/>
        </w:rPr>
      </w:pPr>
      <w:r w:rsidRPr="003E45EA">
        <w:rPr>
          <w:rFonts w:asciiTheme="majorHAnsi" w:hAnsiTheme="majorHAnsi" w:cstheme="majorHAnsi"/>
          <w:color w:val="222222"/>
          <w:shd w:val="clear" w:color="auto" w:fill="FFFFFF"/>
        </w:rPr>
        <w:t>From the chart above, you can gain an understanding of why investors over the past year h</w:t>
      </w:r>
      <w:r w:rsidR="00347702" w:rsidRPr="003E45EA">
        <w:rPr>
          <w:rFonts w:asciiTheme="majorHAnsi" w:hAnsiTheme="majorHAnsi" w:cstheme="majorHAnsi"/>
          <w:color w:val="222222"/>
          <w:shd w:val="clear" w:color="auto" w:fill="FFFFFF"/>
        </w:rPr>
        <w:t>ave tilted</w:t>
      </w:r>
      <w:r w:rsidRPr="003E45EA">
        <w:rPr>
          <w:rFonts w:asciiTheme="majorHAnsi" w:hAnsiTheme="majorHAnsi" w:cstheme="majorHAnsi"/>
          <w:color w:val="222222"/>
          <w:shd w:val="clear" w:color="auto" w:fill="FFFFFF"/>
        </w:rPr>
        <w:t xml:space="preserve"> </w:t>
      </w:r>
      <w:r w:rsidR="00290B47" w:rsidRPr="003E45EA">
        <w:rPr>
          <w:rFonts w:asciiTheme="majorHAnsi" w:hAnsiTheme="majorHAnsi" w:cstheme="majorHAnsi"/>
          <w:color w:val="222222"/>
          <w:shd w:val="clear" w:color="auto" w:fill="FFFFFF"/>
        </w:rPr>
        <w:t xml:space="preserve">their exposures </w:t>
      </w:r>
      <w:r w:rsidRPr="003E45EA">
        <w:rPr>
          <w:rFonts w:asciiTheme="majorHAnsi" w:hAnsiTheme="majorHAnsi" w:cstheme="majorHAnsi"/>
          <w:color w:val="222222"/>
          <w:shd w:val="clear" w:color="auto" w:fill="FFFFFF"/>
        </w:rPr>
        <w:t xml:space="preserve">towards shares over </w:t>
      </w:r>
      <w:r w:rsidR="00C22F5F" w:rsidRPr="003E45EA">
        <w:rPr>
          <w:rFonts w:asciiTheme="majorHAnsi" w:hAnsiTheme="majorHAnsi" w:cstheme="majorHAnsi"/>
          <w:color w:val="222222"/>
          <w:shd w:val="clear" w:color="auto" w:fill="FFFFFF"/>
        </w:rPr>
        <w:t>property</w:t>
      </w:r>
      <w:r w:rsidRPr="003E45EA">
        <w:rPr>
          <w:rFonts w:asciiTheme="majorHAnsi" w:hAnsiTheme="majorHAnsi" w:cstheme="majorHAnsi"/>
          <w:color w:val="222222"/>
          <w:shd w:val="clear" w:color="auto" w:fill="FFFFFF"/>
        </w:rPr>
        <w:t xml:space="preserve"> given the </w:t>
      </w:r>
      <w:r w:rsidR="003A60E0" w:rsidRPr="003E45EA">
        <w:rPr>
          <w:rFonts w:asciiTheme="majorHAnsi" w:hAnsiTheme="majorHAnsi" w:cstheme="majorHAnsi"/>
          <w:color w:val="222222"/>
          <w:shd w:val="clear" w:color="auto" w:fill="FFFFFF"/>
        </w:rPr>
        <w:t>lower</w:t>
      </w:r>
      <w:r w:rsidRPr="003E45EA">
        <w:rPr>
          <w:rFonts w:asciiTheme="majorHAnsi" w:hAnsiTheme="majorHAnsi" w:cstheme="majorHAnsi"/>
          <w:color w:val="222222"/>
          <w:shd w:val="clear" w:color="auto" w:fill="FFFFFF"/>
        </w:rPr>
        <w:t xml:space="preserve"> risk </w:t>
      </w:r>
      <w:r w:rsidR="00290B47" w:rsidRPr="003E45EA">
        <w:rPr>
          <w:rFonts w:asciiTheme="majorHAnsi" w:hAnsiTheme="majorHAnsi" w:cstheme="majorHAnsi"/>
          <w:color w:val="222222"/>
          <w:shd w:val="clear" w:color="auto" w:fill="FFFFFF"/>
        </w:rPr>
        <w:t xml:space="preserve">score </w:t>
      </w:r>
      <w:r w:rsidRPr="003E45EA">
        <w:rPr>
          <w:rFonts w:asciiTheme="majorHAnsi" w:hAnsiTheme="majorHAnsi" w:cstheme="majorHAnsi"/>
          <w:color w:val="222222"/>
          <w:shd w:val="clear" w:color="auto" w:fill="FFFFFF"/>
        </w:rPr>
        <w:t>resulting in higher returns in most cases.</w:t>
      </w:r>
    </w:p>
    <w:p w14:paraId="28A7F0B8" w14:textId="0977CA6B" w:rsidR="003A60E0" w:rsidRPr="003E45EA" w:rsidRDefault="003C4073" w:rsidP="00670AB6">
      <w:pPr>
        <w:spacing w:before="0" w:after="160" w:line="259" w:lineRule="auto"/>
        <w:ind w:left="360"/>
        <w:rPr>
          <w:rFonts w:asciiTheme="majorHAnsi" w:hAnsiTheme="majorHAnsi" w:cstheme="majorHAnsi"/>
          <w:i/>
          <w:iCs/>
          <w:color w:val="222222"/>
          <w:shd w:val="clear" w:color="auto" w:fill="FFFFFF"/>
        </w:rPr>
      </w:pPr>
      <w:r w:rsidRPr="003E45EA">
        <w:rPr>
          <w:rFonts w:asciiTheme="majorHAnsi" w:hAnsiTheme="majorHAnsi" w:cstheme="majorHAnsi"/>
          <w:i/>
          <w:iCs/>
          <w:color w:val="222222"/>
          <w:shd w:val="clear" w:color="auto" w:fill="FFFFFF"/>
        </w:rPr>
        <w:t xml:space="preserve">The risk measure is simply the one-year annualised standard deviation of the monthly total return time series for each category. The total return is the share or bond price movement monthly including any </w:t>
      </w:r>
      <w:r w:rsidR="001D4157" w:rsidRPr="003E45EA">
        <w:rPr>
          <w:rFonts w:asciiTheme="majorHAnsi" w:hAnsiTheme="majorHAnsi" w:cstheme="majorHAnsi"/>
          <w:i/>
          <w:iCs/>
          <w:color w:val="222222"/>
          <w:shd w:val="clear" w:color="auto" w:fill="FFFFFF"/>
        </w:rPr>
        <w:t xml:space="preserve">cash </w:t>
      </w:r>
      <w:r w:rsidRPr="003E45EA">
        <w:rPr>
          <w:rFonts w:asciiTheme="majorHAnsi" w:hAnsiTheme="majorHAnsi" w:cstheme="majorHAnsi"/>
          <w:i/>
          <w:iCs/>
          <w:color w:val="222222"/>
          <w:shd w:val="clear" w:color="auto" w:fill="FFFFFF"/>
        </w:rPr>
        <w:t>dividends and coupons payable.</w:t>
      </w:r>
    </w:p>
    <w:p w14:paraId="5BB0CC86" w14:textId="77777777" w:rsidR="00670AB6" w:rsidRPr="003E45EA" w:rsidRDefault="00670AB6" w:rsidP="004E0CA0">
      <w:pPr>
        <w:rPr>
          <w:rFonts w:asciiTheme="majorHAnsi" w:hAnsiTheme="majorHAnsi" w:cstheme="majorHAnsi"/>
        </w:rPr>
      </w:pPr>
    </w:p>
    <w:p w14:paraId="14AEA146" w14:textId="77777777" w:rsidR="00670AB6" w:rsidRPr="003E45EA" w:rsidRDefault="00670AB6" w:rsidP="004E0CA0">
      <w:pPr>
        <w:rPr>
          <w:rFonts w:asciiTheme="majorHAnsi" w:hAnsiTheme="majorHAnsi" w:cstheme="majorHAnsi"/>
        </w:rPr>
      </w:pPr>
    </w:p>
    <w:p w14:paraId="2B9E9B80" w14:textId="77777777" w:rsidR="00670AB6" w:rsidRPr="003E45EA" w:rsidRDefault="00670AB6" w:rsidP="004E0CA0">
      <w:pPr>
        <w:rPr>
          <w:rFonts w:asciiTheme="majorHAnsi" w:hAnsiTheme="majorHAnsi" w:cstheme="majorHAnsi"/>
        </w:rPr>
      </w:pPr>
    </w:p>
    <w:p w14:paraId="307C7D77" w14:textId="77777777" w:rsidR="00670AB6" w:rsidRPr="003E45EA" w:rsidRDefault="00670AB6" w:rsidP="004E0CA0">
      <w:pPr>
        <w:rPr>
          <w:rFonts w:asciiTheme="majorHAnsi" w:hAnsiTheme="majorHAnsi" w:cstheme="majorHAnsi"/>
        </w:rPr>
      </w:pPr>
    </w:p>
    <w:p w14:paraId="3D8FDABB" w14:textId="77777777" w:rsidR="00670AB6" w:rsidRPr="003E45EA" w:rsidRDefault="00670AB6" w:rsidP="004E0CA0">
      <w:pPr>
        <w:rPr>
          <w:rFonts w:asciiTheme="majorHAnsi" w:hAnsiTheme="majorHAnsi" w:cstheme="majorHAnsi"/>
        </w:rPr>
      </w:pPr>
    </w:p>
    <w:p w14:paraId="3BF5D419" w14:textId="77777777" w:rsidR="00670AB6" w:rsidRDefault="00670AB6" w:rsidP="004E0CA0">
      <w:pPr>
        <w:rPr>
          <w:rFonts w:asciiTheme="majorHAnsi" w:hAnsiTheme="majorHAnsi" w:cstheme="majorHAnsi"/>
        </w:rPr>
      </w:pPr>
    </w:p>
    <w:p w14:paraId="7B2B14E9" w14:textId="77777777" w:rsidR="003E45EA" w:rsidRDefault="003E45EA" w:rsidP="004E0CA0">
      <w:pPr>
        <w:rPr>
          <w:rFonts w:asciiTheme="majorHAnsi" w:hAnsiTheme="majorHAnsi" w:cstheme="majorHAnsi"/>
        </w:rPr>
      </w:pPr>
    </w:p>
    <w:p w14:paraId="07C5628D" w14:textId="77777777" w:rsidR="003E45EA" w:rsidRDefault="003E45EA" w:rsidP="004E0CA0">
      <w:pPr>
        <w:rPr>
          <w:rFonts w:asciiTheme="majorHAnsi" w:hAnsiTheme="majorHAnsi" w:cstheme="majorHAnsi"/>
        </w:rPr>
      </w:pPr>
    </w:p>
    <w:p w14:paraId="6B9CCD73" w14:textId="77777777" w:rsidR="003E45EA" w:rsidRPr="003E45EA" w:rsidRDefault="003E45EA" w:rsidP="004E0CA0">
      <w:pPr>
        <w:rPr>
          <w:rFonts w:asciiTheme="majorHAnsi" w:hAnsiTheme="majorHAnsi" w:cstheme="majorHAnsi"/>
        </w:rPr>
      </w:pPr>
    </w:p>
    <w:p w14:paraId="2603C7C0" w14:textId="1F3DB629" w:rsidR="00670AB6" w:rsidRPr="003E45EA" w:rsidRDefault="00670AB6" w:rsidP="004E0CA0">
      <w:pPr>
        <w:rPr>
          <w:rFonts w:asciiTheme="majorHAnsi" w:hAnsiTheme="majorHAnsi" w:cstheme="majorHAnsi"/>
          <w:b/>
          <w:bCs/>
        </w:rPr>
      </w:pPr>
      <w:r w:rsidRPr="003E45EA">
        <w:rPr>
          <w:rFonts w:asciiTheme="majorHAnsi" w:hAnsiTheme="majorHAnsi" w:cstheme="majorHAnsi"/>
          <w:b/>
          <w:bCs/>
        </w:rPr>
        <w:t>Investor Sentiment</w:t>
      </w:r>
    </w:p>
    <w:p w14:paraId="6664BFA6" w14:textId="60D6A84F" w:rsidR="008B2268" w:rsidRPr="003E45EA" w:rsidRDefault="008B2268" w:rsidP="004E0CA0">
      <w:pPr>
        <w:rPr>
          <w:rFonts w:asciiTheme="majorHAnsi" w:hAnsiTheme="majorHAnsi" w:cstheme="majorHAnsi"/>
        </w:rPr>
      </w:pPr>
      <w:r w:rsidRPr="003E45EA">
        <w:rPr>
          <w:rFonts w:asciiTheme="majorHAnsi" w:hAnsiTheme="majorHAnsi" w:cstheme="majorHAnsi"/>
        </w:rPr>
        <w:t xml:space="preserve">The </w:t>
      </w:r>
      <w:r w:rsidR="009756E0" w:rsidRPr="003E45EA">
        <w:rPr>
          <w:rFonts w:asciiTheme="majorHAnsi" w:hAnsiTheme="majorHAnsi" w:cstheme="majorHAnsi"/>
        </w:rPr>
        <w:t>issues at the forefront of investors thoughts included</w:t>
      </w:r>
      <w:r w:rsidRPr="003E45EA">
        <w:rPr>
          <w:rFonts w:asciiTheme="majorHAnsi" w:hAnsiTheme="majorHAnsi" w:cstheme="majorHAnsi"/>
        </w:rPr>
        <w:t>:</w:t>
      </w:r>
    </w:p>
    <w:p w14:paraId="46BCE29E" w14:textId="53029597" w:rsidR="001A53DE" w:rsidRPr="003E45EA" w:rsidRDefault="001A53DE" w:rsidP="001A53DE">
      <w:pPr>
        <w:pStyle w:val="ListParagraph"/>
        <w:numPr>
          <w:ilvl w:val="0"/>
          <w:numId w:val="14"/>
        </w:numPr>
        <w:spacing w:after="80"/>
        <w:rPr>
          <w:rFonts w:asciiTheme="majorHAnsi" w:hAnsiTheme="majorHAnsi" w:cstheme="majorHAnsi"/>
          <w:color w:val="222222"/>
          <w:szCs w:val="22"/>
          <w:shd w:val="clear" w:color="auto" w:fill="FFFFFF"/>
        </w:rPr>
      </w:pPr>
      <w:r w:rsidRPr="003E45EA">
        <w:rPr>
          <w:rFonts w:asciiTheme="majorHAnsi" w:hAnsiTheme="majorHAnsi" w:cstheme="majorHAnsi"/>
          <w:b/>
          <w:bCs/>
          <w:color w:val="222222"/>
          <w:szCs w:val="22"/>
          <w:shd w:val="clear" w:color="auto" w:fill="FFFFFF"/>
        </w:rPr>
        <w:t>US Politics</w:t>
      </w:r>
      <w:r w:rsidRPr="003E45EA">
        <w:rPr>
          <w:rFonts w:asciiTheme="majorHAnsi" w:hAnsiTheme="majorHAnsi" w:cstheme="majorHAnsi"/>
          <w:color w:val="222222"/>
          <w:szCs w:val="22"/>
          <w:shd w:val="clear" w:color="auto" w:fill="FFFFFF"/>
        </w:rPr>
        <w:t xml:space="preserve"> –  President Donald Trump continues to adjust trade tariffs, pushing ahead with immigration promises, and now the Middle East conflict. We will have to wait and see how this will impact Australia in terms of trade given this new conflict.</w:t>
      </w:r>
    </w:p>
    <w:p w14:paraId="574E9BB1" w14:textId="489C2115" w:rsidR="001A53DE" w:rsidRPr="003E45EA" w:rsidRDefault="001A53DE" w:rsidP="001A53DE">
      <w:pPr>
        <w:pStyle w:val="ListParagraph"/>
        <w:numPr>
          <w:ilvl w:val="0"/>
          <w:numId w:val="14"/>
        </w:numPr>
        <w:spacing w:after="80"/>
        <w:rPr>
          <w:rFonts w:asciiTheme="majorHAnsi" w:hAnsiTheme="majorHAnsi" w:cstheme="majorHAnsi"/>
          <w:color w:val="222222"/>
          <w:szCs w:val="22"/>
          <w:shd w:val="clear" w:color="auto" w:fill="FFFFFF"/>
        </w:rPr>
      </w:pPr>
      <w:r w:rsidRPr="003E45EA">
        <w:rPr>
          <w:rFonts w:asciiTheme="majorHAnsi" w:hAnsiTheme="majorHAnsi" w:cstheme="majorHAnsi"/>
          <w:b/>
          <w:bCs/>
          <w:color w:val="222222"/>
          <w:szCs w:val="22"/>
          <w:shd w:val="clear" w:color="auto" w:fill="FFFFFF"/>
        </w:rPr>
        <w:t>Central banks</w:t>
      </w:r>
      <w:r w:rsidRPr="003E45EA">
        <w:rPr>
          <w:rFonts w:asciiTheme="majorHAnsi" w:hAnsiTheme="majorHAnsi" w:cstheme="majorHAnsi"/>
          <w:color w:val="222222"/>
          <w:szCs w:val="22"/>
          <w:shd w:val="clear" w:color="auto" w:fill="FFFFFF"/>
        </w:rPr>
        <w:t xml:space="preserve"> – the US </w:t>
      </w:r>
      <w:r w:rsidR="005507BD">
        <w:rPr>
          <w:rFonts w:asciiTheme="majorHAnsi" w:hAnsiTheme="majorHAnsi" w:cstheme="majorHAnsi"/>
          <w:color w:val="222222"/>
          <w:szCs w:val="22"/>
          <w:shd w:val="clear" w:color="auto" w:fill="FFFFFF"/>
        </w:rPr>
        <w:t xml:space="preserve">is </w:t>
      </w:r>
      <w:r w:rsidRPr="003E45EA">
        <w:rPr>
          <w:rFonts w:asciiTheme="majorHAnsi" w:hAnsiTheme="majorHAnsi" w:cstheme="majorHAnsi"/>
          <w:color w:val="222222"/>
          <w:szCs w:val="22"/>
          <w:shd w:val="clear" w:color="auto" w:fill="FFFFFF"/>
        </w:rPr>
        <w:t>in easing mode</w:t>
      </w:r>
      <w:r w:rsidR="004D7BB2">
        <w:rPr>
          <w:rFonts w:asciiTheme="majorHAnsi" w:hAnsiTheme="majorHAnsi" w:cstheme="majorHAnsi"/>
          <w:color w:val="222222"/>
          <w:szCs w:val="22"/>
          <w:shd w:val="clear" w:color="auto" w:fill="FFFFFF"/>
        </w:rPr>
        <w:t xml:space="preserve"> despite the persistently high inflation (tariff </w:t>
      </w:r>
      <w:r w:rsidR="00A9603C">
        <w:rPr>
          <w:rFonts w:asciiTheme="majorHAnsi" w:hAnsiTheme="majorHAnsi" w:cstheme="majorHAnsi"/>
          <w:color w:val="222222"/>
          <w:szCs w:val="22"/>
          <w:shd w:val="clear" w:color="auto" w:fill="FFFFFF"/>
        </w:rPr>
        <w:t>related) but concerned by the rising level of unemployment,</w:t>
      </w:r>
    </w:p>
    <w:p w14:paraId="7DB7BC66" w14:textId="766EE141" w:rsidR="001A53DE" w:rsidRPr="003E45EA" w:rsidRDefault="001A53DE" w:rsidP="001A53DE">
      <w:pPr>
        <w:pStyle w:val="ListParagraph"/>
        <w:numPr>
          <w:ilvl w:val="0"/>
          <w:numId w:val="14"/>
        </w:numPr>
        <w:spacing w:after="80"/>
        <w:rPr>
          <w:rFonts w:asciiTheme="majorHAnsi" w:hAnsiTheme="majorHAnsi" w:cstheme="majorHAnsi"/>
          <w:color w:val="222222"/>
          <w:szCs w:val="22"/>
          <w:shd w:val="clear" w:color="auto" w:fill="FFFFFF"/>
        </w:rPr>
      </w:pPr>
      <w:r w:rsidRPr="003E45EA">
        <w:rPr>
          <w:rFonts w:asciiTheme="majorHAnsi" w:hAnsiTheme="majorHAnsi" w:cstheme="majorHAnsi"/>
          <w:b/>
          <w:bCs/>
          <w:color w:val="222222"/>
          <w:szCs w:val="22"/>
          <w:shd w:val="clear" w:color="auto" w:fill="FFFFFF"/>
        </w:rPr>
        <w:t>Inflation</w:t>
      </w:r>
      <w:r w:rsidRPr="003E45EA">
        <w:rPr>
          <w:rFonts w:asciiTheme="majorHAnsi" w:hAnsiTheme="majorHAnsi" w:cstheme="majorHAnsi"/>
          <w:color w:val="222222"/>
          <w:szCs w:val="22"/>
          <w:shd w:val="clear" w:color="auto" w:fill="FFFFFF"/>
        </w:rPr>
        <w:t xml:space="preserve"> – </w:t>
      </w:r>
      <w:r w:rsidR="005507BD">
        <w:rPr>
          <w:rFonts w:asciiTheme="majorHAnsi" w:hAnsiTheme="majorHAnsi" w:cstheme="majorHAnsi"/>
          <w:color w:val="222222"/>
          <w:szCs w:val="22"/>
          <w:shd w:val="clear" w:color="auto" w:fill="FFFFFF"/>
        </w:rPr>
        <w:t xml:space="preserve">remained unchanged in </w:t>
      </w:r>
      <w:r w:rsidRPr="003E45EA">
        <w:rPr>
          <w:rFonts w:asciiTheme="majorHAnsi" w:hAnsiTheme="majorHAnsi" w:cstheme="majorHAnsi"/>
          <w:color w:val="222222"/>
          <w:szCs w:val="22"/>
          <w:shd w:val="clear" w:color="auto" w:fill="FFFFFF"/>
        </w:rPr>
        <w:t>the US a</w:t>
      </w:r>
      <w:r w:rsidR="005507BD">
        <w:rPr>
          <w:rFonts w:asciiTheme="majorHAnsi" w:hAnsiTheme="majorHAnsi" w:cstheme="majorHAnsi"/>
          <w:color w:val="222222"/>
          <w:szCs w:val="22"/>
          <w:shd w:val="clear" w:color="auto" w:fill="FFFFFF"/>
        </w:rPr>
        <w:t>t</w:t>
      </w:r>
      <w:r w:rsidRPr="003E45EA">
        <w:rPr>
          <w:rFonts w:asciiTheme="majorHAnsi" w:hAnsiTheme="majorHAnsi" w:cstheme="majorHAnsi"/>
          <w:color w:val="222222"/>
          <w:szCs w:val="22"/>
          <w:shd w:val="clear" w:color="auto" w:fill="FFFFFF"/>
        </w:rPr>
        <w:t xml:space="preserve"> 2.7% in Ju</w:t>
      </w:r>
      <w:r w:rsidR="005507BD">
        <w:rPr>
          <w:rFonts w:asciiTheme="majorHAnsi" w:hAnsiTheme="majorHAnsi" w:cstheme="majorHAnsi"/>
          <w:color w:val="222222"/>
          <w:szCs w:val="22"/>
          <w:shd w:val="clear" w:color="auto" w:fill="FFFFFF"/>
        </w:rPr>
        <w:t>ly</w:t>
      </w:r>
      <w:r w:rsidRPr="003E45EA">
        <w:rPr>
          <w:rFonts w:asciiTheme="majorHAnsi" w:hAnsiTheme="majorHAnsi" w:cstheme="majorHAnsi"/>
          <w:color w:val="222222"/>
          <w:szCs w:val="22"/>
          <w:shd w:val="clear" w:color="auto" w:fill="FFFFFF"/>
        </w:rPr>
        <w:t xml:space="preserve"> 2025 with retail spending rising. US retail sales MOM increased by (+0.06%) in June 2025 up from (-0.9%) previously. </w:t>
      </w:r>
    </w:p>
    <w:p w14:paraId="0CC392DD" w14:textId="55129256" w:rsidR="001A53DE" w:rsidRPr="003E45EA" w:rsidRDefault="001A53DE" w:rsidP="001A53DE">
      <w:pPr>
        <w:pStyle w:val="ListParagraph"/>
        <w:numPr>
          <w:ilvl w:val="0"/>
          <w:numId w:val="14"/>
        </w:numPr>
        <w:spacing w:after="80"/>
        <w:rPr>
          <w:rFonts w:asciiTheme="majorHAnsi" w:hAnsiTheme="majorHAnsi" w:cstheme="majorHAnsi"/>
          <w:color w:val="222222"/>
          <w:szCs w:val="22"/>
          <w:shd w:val="clear" w:color="auto" w:fill="FFFFFF"/>
        </w:rPr>
      </w:pPr>
      <w:r w:rsidRPr="003E45EA">
        <w:rPr>
          <w:rFonts w:asciiTheme="majorHAnsi" w:hAnsiTheme="majorHAnsi" w:cstheme="majorHAnsi"/>
          <w:b/>
          <w:bCs/>
          <w:color w:val="222222"/>
          <w:szCs w:val="22"/>
          <w:shd w:val="clear" w:color="auto" w:fill="FFFFFF"/>
        </w:rPr>
        <w:t>Growth</w:t>
      </w:r>
      <w:r w:rsidRPr="003E45EA">
        <w:rPr>
          <w:rFonts w:asciiTheme="majorHAnsi" w:hAnsiTheme="majorHAnsi" w:cstheme="majorHAnsi"/>
          <w:color w:val="222222"/>
          <w:szCs w:val="22"/>
          <w:shd w:val="clear" w:color="auto" w:fill="FFFFFF"/>
        </w:rPr>
        <w:t xml:space="preserve"> – China is the focus with growth prospects the central theme. China GDP is resilient around the 5.0% level despite the property market concerns. The benefits of rekindling growth include productivity gains from which Australia will also benefit given, they are our biggest trading partner. </w:t>
      </w:r>
    </w:p>
    <w:p w14:paraId="45E5DADD" w14:textId="45270A91" w:rsidR="001A53DE" w:rsidRPr="003E45EA" w:rsidRDefault="001A53DE" w:rsidP="001A53DE">
      <w:pPr>
        <w:pStyle w:val="ListParagraph"/>
        <w:numPr>
          <w:ilvl w:val="0"/>
          <w:numId w:val="14"/>
        </w:numPr>
        <w:spacing w:after="80"/>
        <w:rPr>
          <w:rFonts w:asciiTheme="majorHAnsi" w:hAnsiTheme="majorHAnsi" w:cstheme="majorHAnsi"/>
          <w:color w:val="222222"/>
          <w:szCs w:val="22"/>
          <w:shd w:val="clear" w:color="auto" w:fill="FFFFFF"/>
        </w:rPr>
      </w:pPr>
      <w:r w:rsidRPr="003E45EA">
        <w:rPr>
          <w:rFonts w:asciiTheme="majorHAnsi" w:hAnsiTheme="majorHAnsi" w:cstheme="majorHAnsi"/>
          <w:b/>
          <w:bCs/>
          <w:color w:val="222222"/>
          <w:szCs w:val="22"/>
          <w:shd w:val="clear" w:color="auto" w:fill="FFFFFF"/>
        </w:rPr>
        <w:t>Company Profits</w:t>
      </w:r>
      <w:r w:rsidRPr="003E45EA">
        <w:rPr>
          <w:rFonts w:asciiTheme="majorHAnsi" w:hAnsiTheme="majorHAnsi" w:cstheme="majorHAnsi"/>
          <w:color w:val="222222"/>
          <w:szCs w:val="22"/>
          <w:shd w:val="clear" w:color="auto" w:fill="FFFFFF"/>
        </w:rPr>
        <w:t xml:space="preserve"> – company reporting season </w:t>
      </w:r>
      <w:r w:rsidR="005507BD">
        <w:rPr>
          <w:rFonts w:asciiTheme="majorHAnsi" w:hAnsiTheme="majorHAnsi" w:cstheme="majorHAnsi"/>
          <w:color w:val="222222"/>
          <w:szCs w:val="22"/>
          <w:shd w:val="clear" w:color="auto" w:fill="FFFFFF"/>
        </w:rPr>
        <w:t>appears to be supportive of markets as earnings are tending towards guidance.</w:t>
      </w:r>
      <w:r w:rsidRPr="003E45EA">
        <w:rPr>
          <w:rFonts w:asciiTheme="majorHAnsi" w:hAnsiTheme="majorHAnsi" w:cstheme="majorHAnsi"/>
          <w:color w:val="222222"/>
          <w:szCs w:val="22"/>
          <w:shd w:val="clear" w:color="auto" w:fill="FFFFFF"/>
        </w:rPr>
        <w:t xml:space="preserve"> </w:t>
      </w:r>
      <w:r w:rsidR="005507BD">
        <w:rPr>
          <w:rFonts w:asciiTheme="majorHAnsi" w:hAnsiTheme="majorHAnsi" w:cstheme="majorHAnsi"/>
          <w:color w:val="222222"/>
          <w:szCs w:val="22"/>
          <w:shd w:val="clear" w:color="auto" w:fill="FFFFFF"/>
        </w:rPr>
        <w:t>Earnings g</w:t>
      </w:r>
      <w:r w:rsidRPr="003E45EA">
        <w:rPr>
          <w:rFonts w:asciiTheme="majorHAnsi" w:hAnsiTheme="majorHAnsi" w:cstheme="majorHAnsi"/>
          <w:color w:val="222222"/>
          <w:szCs w:val="22"/>
          <w:shd w:val="clear" w:color="auto" w:fill="FFFFFF"/>
        </w:rPr>
        <w:t>uidance has shifted down from 7% to 5.6% which may mean a pull back for markets ahead.</w:t>
      </w:r>
    </w:p>
    <w:p w14:paraId="3FFA43C7" w14:textId="7E33564A" w:rsidR="001A53DE" w:rsidRPr="003E45EA" w:rsidRDefault="001A53DE" w:rsidP="001A53DE">
      <w:pPr>
        <w:pStyle w:val="ListParagraph"/>
        <w:numPr>
          <w:ilvl w:val="0"/>
          <w:numId w:val="14"/>
        </w:numPr>
        <w:spacing w:after="80"/>
        <w:rPr>
          <w:rFonts w:asciiTheme="majorHAnsi" w:hAnsiTheme="majorHAnsi" w:cstheme="majorHAnsi"/>
          <w:color w:val="222222"/>
          <w:szCs w:val="22"/>
          <w:shd w:val="clear" w:color="auto" w:fill="FFFFFF"/>
        </w:rPr>
      </w:pPr>
      <w:r w:rsidRPr="003E45EA">
        <w:rPr>
          <w:rFonts w:asciiTheme="majorHAnsi" w:hAnsiTheme="majorHAnsi" w:cstheme="majorHAnsi"/>
          <w:b/>
          <w:bCs/>
          <w:color w:val="222222"/>
          <w:szCs w:val="22"/>
          <w:shd w:val="clear" w:color="auto" w:fill="FFFFFF"/>
        </w:rPr>
        <w:t>Commodities</w:t>
      </w:r>
      <w:r w:rsidRPr="003E45EA">
        <w:rPr>
          <w:rFonts w:asciiTheme="majorHAnsi" w:hAnsiTheme="majorHAnsi" w:cstheme="majorHAnsi"/>
          <w:color w:val="222222"/>
          <w:szCs w:val="22"/>
          <w:shd w:val="clear" w:color="auto" w:fill="FFFFFF"/>
        </w:rPr>
        <w:t xml:space="preserve"> – the latest conflict </w:t>
      </w:r>
      <w:r w:rsidR="005507BD">
        <w:rPr>
          <w:rFonts w:asciiTheme="majorHAnsi" w:hAnsiTheme="majorHAnsi" w:cstheme="majorHAnsi"/>
          <w:color w:val="222222"/>
          <w:szCs w:val="22"/>
          <w:shd w:val="clear" w:color="auto" w:fill="FFFFFF"/>
        </w:rPr>
        <w:t xml:space="preserve">has been supportive of </w:t>
      </w:r>
      <w:r w:rsidRPr="003E45EA">
        <w:rPr>
          <w:rFonts w:asciiTheme="majorHAnsi" w:hAnsiTheme="majorHAnsi" w:cstheme="majorHAnsi"/>
          <w:color w:val="222222"/>
          <w:szCs w:val="22"/>
          <w:shd w:val="clear" w:color="auto" w:fill="FFFFFF"/>
        </w:rPr>
        <w:t xml:space="preserve">commodity prices for oil </w:t>
      </w:r>
      <w:r w:rsidR="005507BD">
        <w:rPr>
          <w:rFonts w:asciiTheme="majorHAnsi" w:hAnsiTheme="majorHAnsi" w:cstheme="majorHAnsi"/>
          <w:color w:val="222222"/>
          <w:szCs w:val="22"/>
          <w:shd w:val="clear" w:color="auto" w:fill="FFFFFF"/>
        </w:rPr>
        <w:t xml:space="preserve">and lithium has rebounded from the lows which is supportive again for the </w:t>
      </w:r>
      <w:r w:rsidRPr="003E45EA">
        <w:rPr>
          <w:rFonts w:asciiTheme="majorHAnsi" w:hAnsiTheme="majorHAnsi" w:cstheme="majorHAnsi"/>
          <w:color w:val="222222"/>
          <w:szCs w:val="22"/>
          <w:shd w:val="clear" w:color="auto" w:fill="FFFFFF"/>
        </w:rPr>
        <w:t xml:space="preserve">energy and EV related materials. Trade tariffs </w:t>
      </w:r>
      <w:r w:rsidR="00036D85">
        <w:rPr>
          <w:rFonts w:asciiTheme="majorHAnsi" w:hAnsiTheme="majorHAnsi" w:cstheme="majorHAnsi"/>
          <w:color w:val="222222"/>
          <w:szCs w:val="22"/>
          <w:shd w:val="clear" w:color="auto" w:fill="FFFFFF"/>
        </w:rPr>
        <w:t>remain</w:t>
      </w:r>
      <w:r w:rsidRPr="003E45EA">
        <w:rPr>
          <w:rFonts w:asciiTheme="majorHAnsi" w:hAnsiTheme="majorHAnsi" w:cstheme="majorHAnsi"/>
          <w:color w:val="222222"/>
          <w:szCs w:val="22"/>
          <w:shd w:val="clear" w:color="auto" w:fill="FFFFFF"/>
        </w:rPr>
        <w:t xml:space="preserve"> the wildcard.</w:t>
      </w:r>
    </w:p>
    <w:p w14:paraId="07A4B833" w14:textId="2DA8CE2C" w:rsidR="008B2268" w:rsidRPr="003E45EA" w:rsidRDefault="000A6FC0" w:rsidP="001A53DE">
      <w:pPr>
        <w:pStyle w:val="ListParagraph"/>
        <w:numPr>
          <w:ilvl w:val="0"/>
          <w:numId w:val="11"/>
        </w:numPr>
        <w:spacing w:after="80"/>
        <w:rPr>
          <w:rFonts w:asciiTheme="majorHAnsi" w:hAnsiTheme="majorHAnsi" w:cstheme="majorHAnsi"/>
          <w:szCs w:val="22"/>
        </w:rPr>
      </w:pPr>
      <w:r w:rsidRPr="003E45EA">
        <w:rPr>
          <w:rFonts w:asciiTheme="majorHAnsi" w:hAnsiTheme="majorHAnsi" w:cstheme="majorHAnsi"/>
          <w:b/>
          <w:bCs/>
          <w:color w:val="222222"/>
          <w:szCs w:val="22"/>
          <w:shd w:val="clear" w:color="auto" w:fill="FFFFFF"/>
        </w:rPr>
        <w:t>Downside Risks</w:t>
      </w:r>
      <w:r w:rsidRPr="003E45EA">
        <w:rPr>
          <w:rFonts w:asciiTheme="majorHAnsi" w:hAnsiTheme="majorHAnsi" w:cstheme="majorHAnsi"/>
          <w:color w:val="222222"/>
          <w:szCs w:val="22"/>
          <w:shd w:val="clear" w:color="auto" w:fill="FFFFFF"/>
        </w:rPr>
        <w:t xml:space="preserve"> - </w:t>
      </w:r>
      <w:r w:rsidR="006C7B29" w:rsidRPr="003E45EA">
        <w:rPr>
          <w:rFonts w:asciiTheme="majorHAnsi" w:hAnsiTheme="majorHAnsi" w:cstheme="majorHAnsi"/>
          <w:color w:val="222222"/>
          <w:szCs w:val="22"/>
          <w:shd w:val="clear" w:color="auto" w:fill="FFFFFF"/>
        </w:rPr>
        <w:t>W</w:t>
      </w:r>
      <w:r w:rsidR="001415A2" w:rsidRPr="003E45EA">
        <w:rPr>
          <w:rFonts w:asciiTheme="majorHAnsi" w:hAnsiTheme="majorHAnsi" w:cstheme="majorHAnsi"/>
          <w:color w:val="222222"/>
          <w:szCs w:val="22"/>
          <w:shd w:val="clear" w:color="auto" w:fill="FFFFFF"/>
        </w:rPr>
        <w:t xml:space="preserve">ith </w:t>
      </w:r>
      <w:r w:rsidR="00B648FE" w:rsidRPr="003E45EA">
        <w:rPr>
          <w:rFonts w:asciiTheme="majorHAnsi" w:hAnsiTheme="majorHAnsi" w:cstheme="majorHAnsi"/>
          <w:color w:val="222222"/>
          <w:szCs w:val="22"/>
          <w:shd w:val="clear" w:color="auto" w:fill="FFFFFF"/>
        </w:rPr>
        <w:t xml:space="preserve">economic indicators </w:t>
      </w:r>
      <w:r w:rsidR="00634FDD" w:rsidRPr="003E45EA">
        <w:rPr>
          <w:rFonts w:asciiTheme="majorHAnsi" w:hAnsiTheme="majorHAnsi" w:cstheme="majorHAnsi"/>
          <w:color w:val="222222"/>
          <w:szCs w:val="22"/>
          <w:shd w:val="clear" w:color="auto" w:fill="FFFFFF"/>
        </w:rPr>
        <w:t xml:space="preserve">flagging </w:t>
      </w:r>
      <w:r w:rsidR="00B648FE" w:rsidRPr="003E45EA">
        <w:rPr>
          <w:rFonts w:asciiTheme="majorHAnsi" w:hAnsiTheme="majorHAnsi" w:cstheme="majorHAnsi"/>
          <w:color w:val="222222"/>
          <w:szCs w:val="22"/>
          <w:shd w:val="clear" w:color="auto" w:fill="FFFFFF"/>
        </w:rPr>
        <w:t xml:space="preserve">downside </w:t>
      </w:r>
      <w:r w:rsidR="002D4F09" w:rsidRPr="003E45EA">
        <w:rPr>
          <w:rFonts w:asciiTheme="majorHAnsi" w:hAnsiTheme="majorHAnsi" w:cstheme="majorHAnsi"/>
          <w:color w:val="222222"/>
          <w:szCs w:val="22"/>
          <w:shd w:val="clear" w:color="auto" w:fill="FFFFFF"/>
        </w:rPr>
        <w:t>risks;</w:t>
      </w:r>
      <w:r w:rsidR="00D90A2B" w:rsidRPr="003E45EA">
        <w:rPr>
          <w:rFonts w:asciiTheme="majorHAnsi" w:hAnsiTheme="majorHAnsi" w:cstheme="majorHAnsi"/>
          <w:color w:val="222222"/>
          <w:szCs w:val="22"/>
          <w:shd w:val="clear" w:color="auto" w:fill="FFFFFF"/>
        </w:rPr>
        <w:t xml:space="preserve"> however, </w:t>
      </w:r>
      <w:r w:rsidR="002D4F09" w:rsidRPr="003E45EA">
        <w:rPr>
          <w:rFonts w:asciiTheme="majorHAnsi" w:hAnsiTheme="majorHAnsi" w:cstheme="majorHAnsi"/>
          <w:color w:val="222222"/>
          <w:szCs w:val="22"/>
          <w:shd w:val="clear" w:color="auto" w:fill="FFFFFF"/>
        </w:rPr>
        <w:t xml:space="preserve">investors are encouraged </w:t>
      </w:r>
      <w:r w:rsidR="002C6C3E" w:rsidRPr="003E45EA">
        <w:rPr>
          <w:rFonts w:asciiTheme="majorHAnsi" w:hAnsiTheme="majorHAnsi" w:cstheme="majorHAnsi"/>
          <w:color w:val="222222"/>
          <w:szCs w:val="22"/>
          <w:shd w:val="clear" w:color="auto" w:fill="FFFFFF"/>
        </w:rPr>
        <w:t xml:space="preserve">to </w:t>
      </w:r>
      <w:r w:rsidR="00E7618A" w:rsidRPr="003E45EA">
        <w:rPr>
          <w:rFonts w:asciiTheme="majorHAnsi" w:hAnsiTheme="majorHAnsi" w:cstheme="majorHAnsi"/>
          <w:color w:val="222222"/>
          <w:szCs w:val="22"/>
          <w:shd w:val="clear" w:color="auto" w:fill="FFFFFF"/>
        </w:rPr>
        <w:t>maintain their cautiou</w:t>
      </w:r>
      <w:r w:rsidR="00484BBB" w:rsidRPr="003E45EA">
        <w:rPr>
          <w:rFonts w:asciiTheme="majorHAnsi" w:hAnsiTheme="majorHAnsi" w:cstheme="majorHAnsi"/>
          <w:color w:val="222222"/>
          <w:szCs w:val="22"/>
          <w:shd w:val="clear" w:color="auto" w:fill="FFFFFF"/>
        </w:rPr>
        <w:t xml:space="preserve">s </w:t>
      </w:r>
      <w:r w:rsidR="00E7618A" w:rsidRPr="003E45EA">
        <w:rPr>
          <w:rFonts w:asciiTheme="majorHAnsi" w:hAnsiTheme="majorHAnsi" w:cstheme="majorHAnsi"/>
          <w:color w:val="222222"/>
          <w:szCs w:val="22"/>
          <w:shd w:val="clear" w:color="auto" w:fill="FFFFFF"/>
        </w:rPr>
        <w:t>optimism</w:t>
      </w:r>
      <w:r w:rsidR="000218F1" w:rsidRPr="003E45EA">
        <w:rPr>
          <w:rFonts w:asciiTheme="majorHAnsi" w:hAnsiTheme="majorHAnsi" w:cstheme="majorHAnsi"/>
          <w:color w:val="222222"/>
          <w:szCs w:val="22"/>
          <w:shd w:val="clear" w:color="auto" w:fill="FFFFFF"/>
        </w:rPr>
        <w:t>, navigate this period of uncertainty,</w:t>
      </w:r>
      <w:r w:rsidR="00B13339" w:rsidRPr="003E45EA">
        <w:rPr>
          <w:rFonts w:asciiTheme="majorHAnsi" w:hAnsiTheme="majorHAnsi" w:cstheme="majorHAnsi"/>
          <w:color w:val="222222"/>
          <w:szCs w:val="22"/>
          <w:shd w:val="clear" w:color="auto" w:fill="FFFFFF"/>
        </w:rPr>
        <w:t xml:space="preserve"> and expect better conditions to prevail in</w:t>
      </w:r>
      <w:r w:rsidR="00886421" w:rsidRPr="003E45EA">
        <w:rPr>
          <w:rFonts w:asciiTheme="majorHAnsi" w:hAnsiTheme="majorHAnsi" w:cstheme="majorHAnsi"/>
          <w:color w:val="222222"/>
          <w:szCs w:val="22"/>
          <w:shd w:val="clear" w:color="auto" w:fill="FFFFFF"/>
        </w:rPr>
        <w:t xml:space="preserve"> the rest of</w:t>
      </w:r>
      <w:r w:rsidR="00B13339" w:rsidRPr="003E45EA">
        <w:rPr>
          <w:rFonts w:asciiTheme="majorHAnsi" w:hAnsiTheme="majorHAnsi" w:cstheme="majorHAnsi"/>
          <w:color w:val="222222"/>
          <w:szCs w:val="22"/>
          <w:shd w:val="clear" w:color="auto" w:fill="FFFFFF"/>
        </w:rPr>
        <w:t xml:space="preserve"> </w:t>
      </w:r>
      <w:r w:rsidR="005D4428" w:rsidRPr="003E45EA">
        <w:rPr>
          <w:rFonts w:asciiTheme="majorHAnsi" w:hAnsiTheme="majorHAnsi" w:cstheme="majorHAnsi"/>
          <w:color w:val="222222"/>
          <w:szCs w:val="22"/>
          <w:shd w:val="clear" w:color="auto" w:fill="FFFFFF"/>
        </w:rPr>
        <w:t>202</w:t>
      </w:r>
      <w:r w:rsidR="00E247C3" w:rsidRPr="003E45EA">
        <w:rPr>
          <w:rFonts w:asciiTheme="majorHAnsi" w:hAnsiTheme="majorHAnsi" w:cstheme="majorHAnsi"/>
          <w:color w:val="222222"/>
          <w:szCs w:val="22"/>
          <w:shd w:val="clear" w:color="auto" w:fill="FFFFFF"/>
        </w:rPr>
        <w:t>5</w:t>
      </w:r>
      <w:r w:rsidR="005D4428" w:rsidRPr="003E45EA">
        <w:rPr>
          <w:rFonts w:asciiTheme="majorHAnsi" w:hAnsiTheme="majorHAnsi" w:cstheme="majorHAnsi"/>
          <w:szCs w:val="22"/>
        </w:rPr>
        <w:t>.</w:t>
      </w:r>
      <w:r w:rsidR="00A00F13" w:rsidRPr="003E45EA">
        <w:rPr>
          <w:rFonts w:asciiTheme="majorHAnsi" w:hAnsiTheme="majorHAnsi" w:cstheme="majorHAnsi"/>
          <w:szCs w:val="22"/>
        </w:rPr>
        <w:t xml:space="preserve"> </w:t>
      </w:r>
    </w:p>
    <w:p w14:paraId="0FBDDE4B" w14:textId="08FBE56E" w:rsidR="0046215F" w:rsidRPr="003E45EA" w:rsidRDefault="00CB46C4" w:rsidP="002D7EED">
      <w:pPr>
        <w:rPr>
          <w:rFonts w:asciiTheme="majorHAnsi" w:hAnsiTheme="majorHAnsi" w:cstheme="majorHAnsi"/>
        </w:rPr>
      </w:pPr>
      <w:r w:rsidRPr="003E45EA">
        <w:rPr>
          <w:rFonts w:asciiTheme="majorHAnsi" w:hAnsiTheme="majorHAnsi" w:cstheme="majorHAnsi"/>
        </w:rPr>
        <w:t xml:space="preserve">Short-term investors have switched </w:t>
      </w:r>
      <w:r w:rsidRPr="003E45EA">
        <w:rPr>
          <w:rFonts w:asciiTheme="majorHAnsi" w:hAnsiTheme="majorHAnsi" w:cstheme="majorHAnsi"/>
          <w:b/>
          <w:bCs/>
        </w:rPr>
        <w:t>to “risk-on”</w:t>
      </w:r>
      <w:r w:rsidRPr="003E45EA">
        <w:rPr>
          <w:rFonts w:asciiTheme="majorHAnsi" w:hAnsiTheme="majorHAnsi" w:cstheme="majorHAnsi"/>
        </w:rPr>
        <w:t xml:space="preserve"> as financial year-end dividends and distributions needed to be put to work. </w:t>
      </w:r>
      <w:r w:rsidR="00886421" w:rsidRPr="003E45EA">
        <w:rPr>
          <w:rFonts w:asciiTheme="majorHAnsi" w:hAnsiTheme="majorHAnsi" w:cstheme="majorHAnsi"/>
        </w:rPr>
        <w:t xml:space="preserve">Medium and longer term </w:t>
      </w:r>
      <w:r w:rsidR="001E3557" w:rsidRPr="003E45EA">
        <w:rPr>
          <w:rFonts w:asciiTheme="majorHAnsi" w:hAnsiTheme="majorHAnsi" w:cstheme="majorHAnsi"/>
        </w:rPr>
        <w:t xml:space="preserve">they </w:t>
      </w:r>
      <w:r w:rsidR="00886421" w:rsidRPr="003E45EA">
        <w:rPr>
          <w:rFonts w:asciiTheme="majorHAnsi" w:hAnsiTheme="majorHAnsi" w:cstheme="majorHAnsi"/>
        </w:rPr>
        <w:t xml:space="preserve">have </w:t>
      </w:r>
      <w:r w:rsidR="00C34A21" w:rsidRPr="003E45EA">
        <w:rPr>
          <w:rFonts w:asciiTheme="majorHAnsi" w:hAnsiTheme="majorHAnsi" w:cstheme="majorHAnsi"/>
        </w:rPr>
        <w:t xml:space="preserve">maintained their </w:t>
      </w:r>
      <w:r w:rsidR="00802B47" w:rsidRPr="003E45EA">
        <w:rPr>
          <w:rFonts w:asciiTheme="majorHAnsi" w:hAnsiTheme="majorHAnsi" w:cstheme="majorHAnsi"/>
        </w:rPr>
        <w:t xml:space="preserve">risk appetite </w:t>
      </w:r>
      <w:r w:rsidR="00C34A21" w:rsidRPr="003E45EA">
        <w:rPr>
          <w:rFonts w:asciiTheme="majorHAnsi" w:hAnsiTheme="majorHAnsi" w:cstheme="majorHAnsi"/>
        </w:rPr>
        <w:t>at</w:t>
      </w:r>
      <w:r w:rsidR="0046215F" w:rsidRPr="003E45EA">
        <w:rPr>
          <w:rFonts w:asciiTheme="majorHAnsi" w:hAnsiTheme="majorHAnsi" w:cstheme="majorHAnsi"/>
          <w:b/>
          <w:bCs/>
        </w:rPr>
        <w:t xml:space="preserve"> </w:t>
      </w:r>
      <w:r w:rsidR="00975C44" w:rsidRPr="003E45EA">
        <w:rPr>
          <w:rFonts w:asciiTheme="majorHAnsi" w:hAnsiTheme="majorHAnsi" w:cstheme="majorHAnsi"/>
          <w:b/>
          <w:bCs/>
        </w:rPr>
        <w:t>“</w:t>
      </w:r>
      <w:r w:rsidR="00311F31" w:rsidRPr="003E45EA">
        <w:rPr>
          <w:rFonts w:asciiTheme="majorHAnsi" w:hAnsiTheme="majorHAnsi" w:cstheme="majorHAnsi"/>
          <w:b/>
          <w:bCs/>
        </w:rPr>
        <w:t>cautiously optimistic</w:t>
      </w:r>
      <w:r w:rsidR="00975C44" w:rsidRPr="003E45EA">
        <w:rPr>
          <w:rFonts w:asciiTheme="majorHAnsi" w:hAnsiTheme="majorHAnsi" w:cstheme="majorHAnsi"/>
          <w:b/>
          <w:bCs/>
        </w:rPr>
        <w:t>”</w:t>
      </w:r>
      <w:r w:rsidR="00975C44" w:rsidRPr="003E45EA">
        <w:rPr>
          <w:rFonts w:asciiTheme="majorHAnsi" w:hAnsiTheme="majorHAnsi" w:cstheme="majorHAnsi"/>
        </w:rPr>
        <w:t xml:space="preserve"> </w:t>
      </w:r>
      <w:r w:rsidR="00B26539" w:rsidRPr="003E45EA">
        <w:rPr>
          <w:rFonts w:asciiTheme="majorHAnsi" w:hAnsiTheme="majorHAnsi" w:cstheme="majorHAnsi"/>
        </w:rPr>
        <w:t xml:space="preserve">as they await the next round of </w:t>
      </w:r>
      <w:r w:rsidR="00C103CF" w:rsidRPr="003E45EA">
        <w:rPr>
          <w:rFonts w:asciiTheme="majorHAnsi" w:hAnsiTheme="majorHAnsi" w:cstheme="majorHAnsi"/>
        </w:rPr>
        <w:t xml:space="preserve">inflation data and </w:t>
      </w:r>
      <w:r w:rsidR="00B26539" w:rsidRPr="003E45EA">
        <w:rPr>
          <w:rFonts w:asciiTheme="majorHAnsi" w:hAnsiTheme="majorHAnsi" w:cstheme="majorHAnsi"/>
        </w:rPr>
        <w:t>Central Bank activity</w:t>
      </w:r>
      <w:r w:rsidR="00886421" w:rsidRPr="003E45EA">
        <w:rPr>
          <w:rFonts w:asciiTheme="majorHAnsi" w:hAnsiTheme="majorHAnsi" w:cstheme="majorHAnsi"/>
        </w:rPr>
        <w:t xml:space="preserve">. </w:t>
      </w:r>
      <w:r w:rsidR="002D7EED" w:rsidRPr="003E45EA">
        <w:rPr>
          <w:rFonts w:asciiTheme="majorHAnsi" w:hAnsiTheme="majorHAnsi" w:cstheme="majorHAnsi"/>
        </w:rPr>
        <w:t>Opportunistic buying is recommended despite the possibility of an economic slowdown in the future, with the impact expected to be limited</w:t>
      </w:r>
      <w:r w:rsidR="00252B3E" w:rsidRPr="003E45EA">
        <w:rPr>
          <w:rFonts w:asciiTheme="majorHAnsi" w:hAnsiTheme="majorHAnsi" w:cstheme="majorHAnsi"/>
        </w:rPr>
        <w:t xml:space="preserve">. </w:t>
      </w:r>
      <w:r w:rsidR="006A01FF" w:rsidRPr="003E45EA">
        <w:rPr>
          <w:rFonts w:asciiTheme="majorHAnsi" w:hAnsiTheme="majorHAnsi" w:cstheme="majorHAnsi"/>
        </w:rPr>
        <w:t xml:space="preserve">We are looking for a </w:t>
      </w:r>
      <w:r w:rsidR="006A01FF" w:rsidRPr="003E45EA">
        <w:rPr>
          <w:rFonts w:asciiTheme="majorHAnsi" w:hAnsiTheme="majorHAnsi" w:cstheme="majorHAnsi"/>
          <w:b/>
          <w:bCs/>
        </w:rPr>
        <w:t>soft landing</w:t>
      </w:r>
      <w:r w:rsidR="006A01FF" w:rsidRPr="003E45EA">
        <w:rPr>
          <w:rFonts w:asciiTheme="majorHAnsi" w:hAnsiTheme="majorHAnsi" w:cstheme="majorHAnsi"/>
        </w:rPr>
        <w:t xml:space="preserve"> for Australia.</w:t>
      </w:r>
    </w:p>
    <w:p w14:paraId="2641A6CA" w14:textId="7D59156D" w:rsidR="00843E57" w:rsidRPr="003E45EA" w:rsidRDefault="00EF6467" w:rsidP="004E0CA0">
      <w:pPr>
        <w:rPr>
          <w:rFonts w:asciiTheme="majorHAnsi" w:hAnsiTheme="majorHAnsi" w:cstheme="majorHAnsi"/>
        </w:rPr>
      </w:pPr>
      <w:r w:rsidRPr="003E45EA">
        <w:rPr>
          <w:rFonts w:asciiTheme="majorHAnsi" w:hAnsiTheme="majorHAnsi" w:cstheme="majorHAnsi"/>
        </w:rPr>
        <w:t>Ukraine</w:t>
      </w:r>
      <w:r w:rsidR="000A6FC0" w:rsidRPr="003E45EA">
        <w:rPr>
          <w:rFonts w:asciiTheme="majorHAnsi" w:hAnsiTheme="majorHAnsi" w:cstheme="majorHAnsi"/>
        </w:rPr>
        <w:t xml:space="preserve">, Russia, Gaza, </w:t>
      </w:r>
      <w:r w:rsidR="00252B3E" w:rsidRPr="003E45EA">
        <w:rPr>
          <w:rFonts w:asciiTheme="majorHAnsi" w:hAnsiTheme="majorHAnsi" w:cstheme="majorHAnsi"/>
        </w:rPr>
        <w:t>Iran,</w:t>
      </w:r>
      <w:r w:rsidR="000A6FC0" w:rsidRPr="003E45EA">
        <w:rPr>
          <w:rFonts w:asciiTheme="majorHAnsi" w:hAnsiTheme="majorHAnsi" w:cstheme="majorHAnsi"/>
        </w:rPr>
        <w:t xml:space="preserve"> </w:t>
      </w:r>
      <w:r w:rsidR="00EF169D" w:rsidRPr="003E45EA">
        <w:rPr>
          <w:rFonts w:asciiTheme="majorHAnsi" w:hAnsiTheme="majorHAnsi" w:cstheme="majorHAnsi"/>
        </w:rPr>
        <w:t xml:space="preserve">and Israel conflict is still a major concern for investors however, </w:t>
      </w:r>
      <w:r w:rsidR="00784798" w:rsidRPr="003E45EA">
        <w:rPr>
          <w:rFonts w:asciiTheme="majorHAnsi" w:hAnsiTheme="majorHAnsi" w:cstheme="majorHAnsi"/>
        </w:rPr>
        <w:t xml:space="preserve">we are a long way from the conflict zone and </w:t>
      </w:r>
      <w:r w:rsidR="006412E9" w:rsidRPr="003E45EA">
        <w:rPr>
          <w:rFonts w:asciiTheme="majorHAnsi" w:hAnsiTheme="majorHAnsi" w:cstheme="majorHAnsi"/>
        </w:rPr>
        <w:t xml:space="preserve">the </w:t>
      </w:r>
      <w:r w:rsidR="00EF169D" w:rsidRPr="003E45EA">
        <w:rPr>
          <w:rFonts w:asciiTheme="majorHAnsi" w:hAnsiTheme="majorHAnsi" w:cstheme="majorHAnsi"/>
        </w:rPr>
        <w:t xml:space="preserve">global </w:t>
      </w:r>
      <w:r w:rsidR="006A01FF" w:rsidRPr="003E45EA">
        <w:rPr>
          <w:rFonts w:asciiTheme="majorHAnsi" w:hAnsiTheme="majorHAnsi" w:cstheme="majorHAnsi"/>
        </w:rPr>
        <w:t xml:space="preserve">economic data </w:t>
      </w:r>
      <w:r w:rsidR="00BB7944" w:rsidRPr="003E45EA">
        <w:rPr>
          <w:rFonts w:asciiTheme="majorHAnsi" w:hAnsiTheme="majorHAnsi" w:cstheme="majorHAnsi"/>
        </w:rPr>
        <w:t xml:space="preserve">is improving </w:t>
      </w:r>
      <w:r w:rsidR="00CB3683" w:rsidRPr="003E45EA">
        <w:rPr>
          <w:rFonts w:asciiTheme="majorHAnsi" w:hAnsiTheme="majorHAnsi" w:cstheme="majorHAnsi"/>
        </w:rPr>
        <w:t xml:space="preserve">slowly </w:t>
      </w:r>
      <w:r w:rsidR="00BB7944" w:rsidRPr="003E45EA">
        <w:rPr>
          <w:rFonts w:asciiTheme="majorHAnsi" w:hAnsiTheme="majorHAnsi" w:cstheme="majorHAnsi"/>
        </w:rPr>
        <w:t xml:space="preserve">but the </w:t>
      </w:r>
      <w:r w:rsidR="00457450" w:rsidRPr="003E45EA">
        <w:rPr>
          <w:rFonts w:asciiTheme="majorHAnsi" w:hAnsiTheme="majorHAnsi" w:cstheme="majorHAnsi"/>
        </w:rPr>
        <w:t xml:space="preserve">main </w:t>
      </w:r>
      <w:r w:rsidR="00BB7944" w:rsidRPr="003E45EA">
        <w:rPr>
          <w:rFonts w:asciiTheme="majorHAnsi" w:hAnsiTheme="majorHAnsi" w:cstheme="majorHAnsi"/>
        </w:rPr>
        <w:t xml:space="preserve">influence on our </w:t>
      </w:r>
      <w:r w:rsidR="000A6FC0" w:rsidRPr="003E45EA">
        <w:rPr>
          <w:rFonts w:asciiTheme="majorHAnsi" w:hAnsiTheme="majorHAnsi" w:cstheme="majorHAnsi"/>
        </w:rPr>
        <w:t xml:space="preserve">domestic </w:t>
      </w:r>
      <w:r w:rsidR="00BB7944" w:rsidRPr="003E45EA">
        <w:rPr>
          <w:rFonts w:asciiTheme="majorHAnsi" w:hAnsiTheme="majorHAnsi" w:cstheme="majorHAnsi"/>
        </w:rPr>
        <w:t xml:space="preserve">market </w:t>
      </w:r>
      <w:r w:rsidR="00EF169D" w:rsidRPr="003E45EA">
        <w:rPr>
          <w:rFonts w:asciiTheme="majorHAnsi" w:hAnsiTheme="majorHAnsi" w:cstheme="majorHAnsi"/>
        </w:rPr>
        <w:t xml:space="preserve">remains from </w:t>
      </w:r>
      <w:r w:rsidR="00BB7944" w:rsidRPr="003E45EA">
        <w:rPr>
          <w:rFonts w:asciiTheme="majorHAnsi" w:hAnsiTheme="majorHAnsi" w:cstheme="majorHAnsi"/>
        </w:rPr>
        <w:t>offshore</w:t>
      </w:r>
      <w:r w:rsidR="00CB3683" w:rsidRPr="003E45EA">
        <w:rPr>
          <w:rFonts w:asciiTheme="majorHAnsi" w:hAnsiTheme="majorHAnsi" w:cstheme="majorHAnsi"/>
        </w:rPr>
        <w:t>, especially China</w:t>
      </w:r>
      <w:r w:rsidR="00BB7944" w:rsidRPr="003E45EA">
        <w:rPr>
          <w:rFonts w:asciiTheme="majorHAnsi" w:hAnsiTheme="majorHAnsi" w:cstheme="majorHAnsi"/>
        </w:rPr>
        <w:t xml:space="preserve">. </w:t>
      </w:r>
    </w:p>
    <w:p w14:paraId="3F20AC37" w14:textId="0E88F547" w:rsidR="008C55C2" w:rsidRPr="003E45EA" w:rsidRDefault="008C55C2" w:rsidP="00B53288">
      <w:pPr>
        <w:rPr>
          <w:rFonts w:asciiTheme="majorHAnsi" w:hAnsiTheme="majorHAnsi" w:cstheme="majorHAnsi"/>
        </w:rPr>
      </w:pPr>
      <w:r w:rsidRPr="003E45EA">
        <w:rPr>
          <w:rFonts w:asciiTheme="majorHAnsi" w:hAnsiTheme="majorHAnsi" w:cstheme="majorHAnsi"/>
        </w:rPr>
        <w:t xml:space="preserve">China </w:t>
      </w:r>
      <w:r w:rsidR="001E3557" w:rsidRPr="003E45EA">
        <w:rPr>
          <w:rFonts w:asciiTheme="majorHAnsi" w:hAnsiTheme="majorHAnsi" w:cstheme="majorHAnsi"/>
        </w:rPr>
        <w:t>continues to</w:t>
      </w:r>
      <w:r w:rsidRPr="003E45EA">
        <w:rPr>
          <w:rFonts w:asciiTheme="majorHAnsi" w:hAnsiTheme="majorHAnsi" w:cstheme="majorHAnsi"/>
        </w:rPr>
        <w:t xml:space="preserve"> ma</w:t>
      </w:r>
      <w:r w:rsidR="001E3557" w:rsidRPr="003E45EA">
        <w:rPr>
          <w:rFonts w:asciiTheme="majorHAnsi" w:hAnsiTheme="majorHAnsi" w:cstheme="majorHAnsi"/>
        </w:rPr>
        <w:t>ke</w:t>
      </w:r>
      <w:r w:rsidRPr="003E45EA">
        <w:rPr>
          <w:rFonts w:asciiTheme="majorHAnsi" w:hAnsiTheme="majorHAnsi" w:cstheme="majorHAnsi"/>
        </w:rPr>
        <w:t xml:space="preserve"> fiscal and monetary policy announcements to </w:t>
      </w:r>
      <w:r w:rsidR="001E3557" w:rsidRPr="003E45EA">
        <w:rPr>
          <w:rFonts w:asciiTheme="majorHAnsi" w:hAnsiTheme="majorHAnsi" w:cstheme="majorHAnsi"/>
        </w:rPr>
        <w:t>support</w:t>
      </w:r>
      <w:r w:rsidRPr="003E45EA">
        <w:rPr>
          <w:rFonts w:asciiTheme="majorHAnsi" w:hAnsiTheme="majorHAnsi" w:cstheme="majorHAnsi"/>
        </w:rPr>
        <w:t xml:space="preserve"> economic growth, </w:t>
      </w:r>
      <w:r w:rsidRPr="003E45EA">
        <w:rPr>
          <w:rFonts w:asciiTheme="majorHAnsi" w:hAnsiTheme="majorHAnsi" w:cstheme="majorHAnsi"/>
          <w:b/>
          <w:bCs/>
        </w:rPr>
        <w:t>targeting 5%</w:t>
      </w:r>
      <w:r w:rsidR="0040427A" w:rsidRPr="003E45EA">
        <w:rPr>
          <w:rFonts w:asciiTheme="majorHAnsi" w:hAnsiTheme="majorHAnsi" w:cstheme="majorHAnsi"/>
          <w:b/>
          <w:bCs/>
        </w:rPr>
        <w:t xml:space="preserve"> over the next year. </w:t>
      </w:r>
      <w:r w:rsidR="0040427A" w:rsidRPr="003E45EA">
        <w:rPr>
          <w:rFonts w:asciiTheme="majorHAnsi" w:hAnsiTheme="majorHAnsi" w:cstheme="majorHAnsi"/>
        </w:rPr>
        <w:t>I</w:t>
      </w:r>
      <w:r w:rsidRPr="003E45EA">
        <w:rPr>
          <w:rFonts w:asciiTheme="majorHAnsi" w:hAnsiTheme="majorHAnsi" w:cstheme="majorHAnsi"/>
        </w:rPr>
        <w:t xml:space="preserve">n response to </w:t>
      </w:r>
      <w:r w:rsidR="00CD56F0" w:rsidRPr="003E45EA">
        <w:rPr>
          <w:rFonts w:asciiTheme="majorHAnsi" w:hAnsiTheme="majorHAnsi" w:cstheme="majorHAnsi"/>
        </w:rPr>
        <w:t>a</w:t>
      </w:r>
      <w:r w:rsidR="001C71C7" w:rsidRPr="003E45EA">
        <w:rPr>
          <w:rFonts w:asciiTheme="majorHAnsi" w:hAnsiTheme="majorHAnsi" w:cstheme="majorHAnsi"/>
        </w:rPr>
        <w:t xml:space="preserve"> </w:t>
      </w:r>
      <w:r w:rsidR="00CD56F0" w:rsidRPr="003E45EA">
        <w:rPr>
          <w:rFonts w:asciiTheme="majorHAnsi" w:hAnsiTheme="majorHAnsi" w:cstheme="majorHAnsi"/>
        </w:rPr>
        <w:t>dec</w:t>
      </w:r>
      <w:r w:rsidRPr="003E45EA">
        <w:rPr>
          <w:rFonts w:asciiTheme="majorHAnsi" w:hAnsiTheme="majorHAnsi" w:cstheme="majorHAnsi"/>
        </w:rPr>
        <w:t>rease in US tariffs</w:t>
      </w:r>
      <w:r w:rsidR="00720E08" w:rsidRPr="003E45EA">
        <w:rPr>
          <w:rFonts w:asciiTheme="majorHAnsi" w:hAnsiTheme="majorHAnsi" w:cstheme="majorHAnsi"/>
        </w:rPr>
        <w:t xml:space="preserve"> </w:t>
      </w:r>
      <w:r w:rsidR="00CD56F0" w:rsidRPr="003E45EA">
        <w:rPr>
          <w:rFonts w:asciiTheme="majorHAnsi" w:hAnsiTheme="majorHAnsi" w:cstheme="majorHAnsi"/>
        </w:rPr>
        <w:t>to</w:t>
      </w:r>
      <w:r w:rsidR="00720E08" w:rsidRPr="003E45EA">
        <w:rPr>
          <w:rFonts w:asciiTheme="majorHAnsi" w:hAnsiTheme="majorHAnsi" w:cstheme="majorHAnsi"/>
        </w:rPr>
        <w:t xml:space="preserve"> </w:t>
      </w:r>
      <w:r w:rsidR="001E3557" w:rsidRPr="003E45EA">
        <w:rPr>
          <w:rFonts w:asciiTheme="majorHAnsi" w:hAnsiTheme="majorHAnsi" w:cstheme="majorHAnsi"/>
        </w:rPr>
        <w:t>30</w:t>
      </w:r>
      <w:r w:rsidR="00720E08" w:rsidRPr="003E45EA">
        <w:rPr>
          <w:rFonts w:asciiTheme="majorHAnsi" w:hAnsiTheme="majorHAnsi" w:cstheme="majorHAnsi"/>
        </w:rPr>
        <w:t>%</w:t>
      </w:r>
      <w:r w:rsidR="0040427A" w:rsidRPr="003E45EA">
        <w:rPr>
          <w:rFonts w:asciiTheme="majorHAnsi" w:hAnsiTheme="majorHAnsi" w:cstheme="majorHAnsi"/>
        </w:rPr>
        <w:t>,</w:t>
      </w:r>
      <w:r w:rsidRPr="003E45EA">
        <w:rPr>
          <w:rFonts w:asciiTheme="majorHAnsi" w:hAnsiTheme="majorHAnsi" w:cstheme="majorHAnsi"/>
        </w:rPr>
        <w:t xml:space="preserve"> </w:t>
      </w:r>
      <w:r w:rsidR="0040427A" w:rsidRPr="003E45EA">
        <w:rPr>
          <w:rFonts w:asciiTheme="majorHAnsi" w:hAnsiTheme="majorHAnsi" w:cstheme="majorHAnsi"/>
        </w:rPr>
        <w:t>Ch</w:t>
      </w:r>
      <w:r w:rsidR="001C71C7" w:rsidRPr="003E45EA">
        <w:rPr>
          <w:rFonts w:asciiTheme="majorHAnsi" w:hAnsiTheme="majorHAnsi" w:cstheme="majorHAnsi"/>
        </w:rPr>
        <w:t xml:space="preserve">ina has </w:t>
      </w:r>
      <w:r w:rsidR="0040427A" w:rsidRPr="003E45EA">
        <w:rPr>
          <w:rFonts w:asciiTheme="majorHAnsi" w:hAnsiTheme="majorHAnsi" w:cstheme="majorHAnsi"/>
        </w:rPr>
        <w:t xml:space="preserve">introduced a </w:t>
      </w:r>
      <w:r w:rsidR="001C71C7" w:rsidRPr="003E45EA">
        <w:rPr>
          <w:rFonts w:asciiTheme="majorHAnsi" w:hAnsiTheme="majorHAnsi" w:cstheme="majorHAnsi"/>
        </w:rPr>
        <w:t>1</w:t>
      </w:r>
      <w:r w:rsidR="001E3557" w:rsidRPr="003E45EA">
        <w:rPr>
          <w:rFonts w:asciiTheme="majorHAnsi" w:hAnsiTheme="majorHAnsi" w:cstheme="majorHAnsi"/>
        </w:rPr>
        <w:t>0</w:t>
      </w:r>
      <w:r w:rsidR="001C71C7" w:rsidRPr="003E45EA">
        <w:rPr>
          <w:rFonts w:asciiTheme="majorHAnsi" w:hAnsiTheme="majorHAnsi" w:cstheme="majorHAnsi"/>
        </w:rPr>
        <w:t xml:space="preserve">% </w:t>
      </w:r>
      <w:r w:rsidR="0040427A" w:rsidRPr="003E45EA">
        <w:rPr>
          <w:rFonts w:asciiTheme="majorHAnsi" w:hAnsiTheme="majorHAnsi" w:cstheme="majorHAnsi"/>
        </w:rPr>
        <w:t xml:space="preserve">tariff </w:t>
      </w:r>
      <w:r w:rsidR="001C71C7" w:rsidRPr="003E45EA">
        <w:rPr>
          <w:rFonts w:asciiTheme="majorHAnsi" w:hAnsiTheme="majorHAnsi" w:cstheme="majorHAnsi"/>
        </w:rPr>
        <w:t>on US imported goods.</w:t>
      </w:r>
      <w:r w:rsidR="00B67A4E" w:rsidRPr="003E45EA">
        <w:rPr>
          <w:rFonts w:asciiTheme="majorHAnsi" w:hAnsiTheme="majorHAnsi" w:cstheme="majorHAnsi"/>
        </w:rPr>
        <w:t xml:space="preserve"> They are still negotiating.</w:t>
      </w:r>
    </w:p>
    <w:p w14:paraId="68131F76" w14:textId="7982A444" w:rsidR="00D72B03" w:rsidRPr="003E45EA" w:rsidRDefault="007B7DEB" w:rsidP="00F6077E">
      <w:pPr>
        <w:rPr>
          <w:rFonts w:asciiTheme="majorHAnsi" w:hAnsiTheme="majorHAnsi" w:cstheme="majorHAnsi"/>
          <w:b/>
          <w:bCs/>
        </w:rPr>
      </w:pPr>
      <w:r w:rsidRPr="003E45EA">
        <w:rPr>
          <w:rFonts w:asciiTheme="majorHAnsi" w:hAnsiTheme="majorHAnsi" w:cstheme="majorHAnsi"/>
          <w:b/>
          <w:bCs/>
        </w:rPr>
        <w:lastRenderedPageBreak/>
        <w:t>Investment</w:t>
      </w:r>
      <w:r w:rsidR="00D72B03" w:rsidRPr="003E45EA">
        <w:rPr>
          <w:rFonts w:asciiTheme="majorHAnsi" w:hAnsiTheme="majorHAnsi" w:cstheme="majorHAnsi"/>
          <w:b/>
          <w:bCs/>
        </w:rPr>
        <w:t xml:space="preserve"> Climate</w:t>
      </w:r>
    </w:p>
    <w:p w14:paraId="2986FB07" w14:textId="103C0E2D" w:rsidR="00723CD3" w:rsidRPr="003E45EA" w:rsidRDefault="00981E23" w:rsidP="001E16AE">
      <w:pPr>
        <w:spacing w:before="120" w:after="120"/>
        <w:rPr>
          <w:rFonts w:asciiTheme="majorHAnsi" w:hAnsiTheme="majorHAnsi" w:cstheme="majorHAnsi"/>
        </w:rPr>
      </w:pPr>
      <w:r>
        <w:rPr>
          <w:rFonts w:asciiTheme="majorHAnsi" w:hAnsiTheme="majorHAnsi" w:cstheme="majorHAnsi"/>
        </w:rPr>
        <w:t>With the U</w:t>
      </w:r>
      <w:r w:rsidR="00881DFD" w:rsidRPr="003E45EA">
        <w:rPr>
          <w:rFonts w:asciiTheme="majorHAnsi" w:hAnsiTheme="majorHAnsi" w:cstheme="majorHAnsi"/>
        </w:rPr>
        <w:t xml:space="preserve">S tariff negotiations </w:t>
      </w:r>
      <w:r>
        <w:rPr>
          <w:rFonts w:asciiTheme="majorHAnsi" w:hAnsiTheme="majorHAnsi" w:cstheme="majorHAnsi"/>
        </w:rPr>
        <w:t>ongoing, and investors getting more comfortable with the expected outcomes, r</w:t>
      </w:r>
      <w:r w:rsidR="00723CD3" w:rsidRPr="003E45EA">
        <w:rPr>
          <w:rFonts w:asciiTheme="majorHAnsi" w:hAnsiTheme="majorHAnsi" w:cstheme="majorHAnsi"/>
          <w:b/>
          <w:bCs/>
        </w:rPr>
        <w:t>isk-</w:t>
      </w:r>
      <w:r w:rsidR="00881DFD" w:rsidRPr="003E45EA">
        <w:rPr>
          <w:rFonts w:asciiTheme="majorHAnsi" w:hAnsiTheme="majorHAnsi" w:cstheme="majorHAnsi"/>
          <w:b/>
          <w:bCs/>
        </w:rPr>
        <w:t>on</w:t>
      </w:r>
      <w:r w:rsidR="00723CD3" w:rsidRPr="003E45EA">
        <w:rPr>
          <w:rFonts w:asciiTheme="majorHAnsi" w:hAnsiTheme="majorHAnsi" w:cstheme="majorHAnsi"/>
          <w:b/>
          <w:bCs/>
        </w:rPr>
        <w:t xml:space="preserve"> trades</w:t>
      </w:r>
      <w:r w:rsidR="00723CD3" w:rsidRPr="003E45EA">
        <w:rPr>
          <w:rFonts w:asciiTheme="majorHAnsi" w:hAnsiTheme="majorHAnsi" w:cstheme="majorHAnsi"/>
        </w:rPr>
        <w:t xml:space="preserve"> dominated </w:t>
      </w:r>
      <w:r w:rsidR="003006BF" w:rsidRPr="003E45EA">
        <w:rPr>
          <w:rFonts w:asciiTheme="majorHAnsi" w:hAnsiTheme="majorHAnsi" w:cstheme="majorHAnsi"/>
        </w:rPr>
        <w:t>activity</w:t>
      </w:r>
      <w:r w:rsidR="00723CD3" w:rsidRPr="003E45EA">
        <w:rPr>
          <w:rFonts w:asciiTheme="majorHAnsi" w:hAnsiTheme="majorHAnsi" w:cstheme="majorHAnsi"/>
        </w:rPr>
        <w:t xml:space="preserve">. This downside risk </w:t>
      </w:r>
      <w:r w:rsidR="00596BAB" w:rsidRPr="003E45EA">
        <w:rPr>
          <w:rFonts w:asciiTheme="majorHAnsi" w:hAnsiTheme="majorHAnsi" w:cstheme="majorHAnsi"/>
        </w:rPr>
        <w:t xml:space="preserve">remains a </w:t>
      </w:r>
      <w:r w:rsidR="00981955" w:rsidRPr="003E45EA">
        <w:rPr>
          <w:rFonts w:asciiTheme="majorHAnsi" w:hAnsiTheme="majorHAnsi" w:cstheme="majorHAnsi"/>
        </w:rPr>
        <w:t>real</w:t>
      </w:r>
      <w:r w:rsidR="00723CD3" w:rsidRPr="003E45EA">
        <w:rPr>
          <w:rFonts w:asciiTheme="majorHAnsi" w:hAnsiTheme="majorHAnsi" w:cstheme="majorHAnsi"/>
        </w:rPr>
        <w:t xml:space="preserve"> </w:t>
      </w:r>
      <w:r w:rsidR="00596BAB" w:rsidRPr="003E45EA">
        <w:rPr>
          <w:rFonts w:asciiTheme="majorHAnsi" w:hAnsiTheme="majorHAnsi" w:cstheme="majorHAnsi"/>
        </w:rPr>
        <w:t xml:space="preserve">threat </w:t>
      </w:r>
      <w:r w:rsidR="00723CD3" w:rsidRPr="003E45EA">
        <w:rPr>
          <w:rFonts w:asciiTheme="majorHAnsi" w:hAnsiTheme="majorHAnsi" w:cstheme="majorHAnsi"/>
        </w:rPr>
        <w:t xml:space="preserve">given that all countries </w:t>
      </w:r>
      <w:r w:rsidR="00981955" w:rsidRPr="003E45EA">
        <w:rPr>
          <w:rFonts w:asciiTheme="majorHAnsi" w:hAnsiTheme="majorHAnsi" w:cstheme="majorHAnsi"/>
        </w:rPr>
        <w:t xml:space="preserve">that trade (exporters) with the US </w:t>
      </w:r>
      <w:r w:rsidR="00723CD3" w:rsidRPr="003E45EA">
        <w:rPr>
          <w:rFonts w:asciiTheme="majorHAnsi" w:hAnsiTheme="majorHAnsi" w:cstheme="majorHAnsi"/>
        </w:rPr>
        <w:t xml:space="preserve">are impacted by the tariffs. For </w:t>
      </w:r>
      <w:r w:rsidR="00DE11E9" w:rsidRPr="003E45EA">
        <w:rPr>
          <w:rFonts w:asciiTheme="majorHAnsi" w:hAnsiTheme="majorHAnsi" w:cstheme="majorHAnsi"/>
        </w:rPr>
        <w:t>Australia,</w:t>
      </w:r>
      <w:r w:rsidR="00723CD3" w:rsidRPr="003E45EA">
        <w:rPr>
          <w:rFonts w:asciiTheme="majorHAnsi" w:hAnsiTheme="majorHAnsi" w:cstheme="majorHAnsi"/>
        </w:rPr>
        <w:t xml:space="preserve"> the </w:t>
      </w:r>
      <w:r w:rsidR="00723CD3" w:rsidRPr="003E45EA">
        <w:rPr>
          <w:rFonts w:asciiTheme="majorHAnsi" w:hAnsiTheme="majorHAnsi" w:cstheme="majorHAnsi"/>
          <w:b/>
          <w:bCs/>
        </w:rPr>
        <w:t xml:space="preserve">impact is </w:t>
      </w:r>
      <w:r w:rsidR="00981955" w:rsidRPr="003E45EA">
        <w:rPr>
          <w:rFonts w:asciiTheme="majorHAnsi" w:hAnsiTheme="majorHAnsi" w:cstheme="majorHAnsi"/>
          <w:b/>
          <w:bCs/>
        </w:rPr>
        <w:t>contained</w:t>
      </w:r>
      <w:r w:rsidR="00723CD3" w:rsidRPr="003E45EA">
        <w:rPr>
          <w:rFonts w:asciiTheme="majorHAnsi" w:hAnsiTheme="majorHAnsi" w:cstheme="majorHAnsi"/>
        </w:rPr>
        <w:t xml:space="preserve"> to the </w:t>
      </w:r>
      <w:r w:rsidR="00723CD3" w:rsidRPr="003E45EA">
        <w:rPr>
          <w:rFonts w:asciiTheme="majorHAnsi" w:hAnsiTheme="majorHAnsi" w:cstheme="majorHAnsi"/>
          <w:b/>
          <w:bCs/>
        </w:rPr>
        <w:t xml:space="preserve">steel and aluminium </w:t>
      </w:r>
      <w:r w:rsidR="00981955" w:rsidRPr="003E45EA">
        <w:rPr>
          <w:rFonts w:asciiTheme="majorHAnsi" w:hAnsiTheme="majorHAnsi" w:cstheme="majorHAnsi"/>
          <w:b/>
          <w:bCs/>
        </w:rPr>
        <w:t xml:space="preserve">(+25%) and everything else 10% </w:t>
      </w:r>
      <w:r w:rsidR="00981955" w:rsidRPr="003E45EA">
        <w:rPr>
          <w:rFonts w:asciiTheme="majorHAnsi" w:hAnsiTheme="majorHAnsi" w:cstheme="majorHAnsi"/>
        </w:rPr>
        <w:t xml:space="preserve">of </w:t>
      </w:r>
      <w:r w:rsidR="00723CD3" w:rsidRPr="003E45EA">
        <w:rPr>
          <w:rFonts w:asciiTheme="majorHAnsi" w:hAnsiTheme="majorHAnsi" w:cstheme="majorHAnsi"/>
        </w:rPr>
        <w:t>exports to the US</w:t>
      </w:r>
      <w:r w:rsidR="00881DFD" w:rsidRPr="003E45EA">
        <w:rPr>
          <w:rFonts w:asciiTheme="majorHAnsi" w:hAnsiTheme="majorHAnsi" w:cstheme="majorHAnsi"/>
        </w:rPr>
        <w:t xml:space="preserve"> for the moment</w:t>
      </w:r>
      <w:r w:rsidR="00DE11E9" w:rsidRPr="003E45EA">
        <w:rPr>
          <w:rFonts w:asciiTheme="majorHAnsi" w:hAnsiTheme="majorHAnsi" w:cstheme="majorHAnsi"/>
        </w:rPr>
        <w:t xml:space="preserve">. </w:t>
      </w:r>
      <w:r w:rsidR="00981955" w:rsidRPr="003E45EA">
        <w:rPr>
          <w:rFonts w:asciiTheme="majorHAnsi" w:hAnsiTheme="majorHAnsi" w:cstheme="majorHAnsi"/>
        </w:rPr>
        <w:t>At this stage, Australia has not retaliated with any US tariffs</w:t>
      </w:r>
      <w:r w:rsidR="005D39A1" w:rsidRPr="003E45EA">
        <w:rPr>
          <w:rFonts w:asciiTheme="majorHAnsi" w:hAnsiTheme="majorHAnsi" w:cstheme="majorHAnsi"/>
        </w:rPr>
        <w:t xml:space="preserve"> however, the AUKUS submarine agreement is now under review which may impact our defence needs.</w:t>
      </w:r>
    </w:p>
    <w:p w14:paraId="1701C39F" w14:textId="46C31A2D" w:rsidR="000678F3" w:rsidRPr="003E45EA" w:rsidRDefault="00723CD3" w:rsidP="001E16AE">
      <w:pPr>
        <w:spacing w:before="120" w:after="120"/>
        <w:rPr>
          <w:rFonts w:asciiTheme="majorHAnsi" w:hAnsiTheme="majorHAnsi" w:cstheme="majorHAnsi"/>
        </w:rPr>
      </w:pPr>
      <w:r w:rsidRPr="003E45EA">
        <w:rPr>
          <w:rFonts w:asciiTheme="majorHAnsi" w:hAnsiTheme="majorHAnsi" w:cstheme="majorHAnsi"/>
        </w:rPr>
        <w:t xml:space="preserve">Medium-term investors </w:t>
      </w:r>
      <w:r w:rsidR="00665AF3" w:rsidRPr="003E45EA">
        <w:rPr>
          <w:rFonts w:asciiTheme="majorHAnsi" w:hAnsiTheme="majorHAnsi" w:cstheme="majorHAnsi"/>
        </w:rPr>
        <w:t xml:space="preserve">are encouraged by the </w:t>
      </w:r>
      <w:r w:rsidR="00C92CC1" w:rsidRPr="003E45EA">
        <w:rPr>
          <w:rFonts w:asciiTheme="majorHAnsi" w:hAnsiTheme="majorHAnsi" w:cstheme="majorHAnsi"/>
        </w:rPr>
        <w:t xml:space="preserve">anticipated </w:t>
      </w:r>
      <w:r w:rsidR="00665AF3" w:rsidRPr="003E45EA">
        <w:rPr>
          <w:rFonts w:asciiTheme="majorHAnsi" w:hAnsiTheme="majorHAnsi" w:cstheme="majorHAnsi"/>
        </w:rPr>
        <w:t xml:space="preserve">gradual easing of interest </w:t>
      </w:r>
      <w:r w:rsidR="00DE11E9" w:rsidRPr="003E45EA">
        <w:rPr>
          <w:rFonts w:asciiTheme="majorHAnsi" w:hAnsiTheme="majorHAnsi" w:cstheme="majorHAnsi"/>
        </w:rPr>
        <w:t>rates; however,</w:t>
      </w:r>
      <w:r w:rsidR="00C92CC1" w:rsidRPr="003E45EA">
        <w:rPr>
          <w:rFonts w:asciiTheme="majorHAnsi" w:hAnsiTheme="majorHAnsi" w:cstheme="majorHAnsi"/>
        </w:rPr>
        <w:t xml:space="preserve"> the </w:t>
      </w:r>
      <w:r w:rsidR="002828E4" w:rsidRPr="003E45EA">
        <w:rPr>
          <w:rFonts w:asciiTheme="majorHAnsi" w:hAnsiTheme="majorHAnsi" w:cstheme="majorHAnsi"/>
        </w:rPr>
        <w:t xml:space="preserve">unsettled nature of the </w:t>
      </w:r>
      <w:r w:rsidR="00E77D79" w:rsidRPr="003E45EA">
        <w:rPr>
          <w:rFonts w:asciiTheme="majorHAnsi" w:hAnsiTheme="majorHAnsi" w:cstheme="majorHAnsi"/>
        </w:rPr>
        <w:t xml:space="preserve">share and </w:t>
      </w:r>
      <w:r w:rsidR="00C92CC1" w:rsidRPr="003E45EA">
        <w:rPr>
          <w:rFonts w:asciiTheme="majorHAnsi" w:hAnsiTheme="majorHAnsi" w:cstheme="majorHAnsi"/>
        </w:rPr>
        <w:t xml:space="preserve">bond markets </w:t>
      </w:r>
      <w:r w:rsidR="002828E4" w:rsidRPr="003E45EA">
        <w:rPr>
          <w:rFonts w:asciiTheme="majorHAnsi" w:hAnsiTheme="majorHAnsi" w:cstheme="majorHAnsi"/>
        </w:rPr>
        <w:t>clouds the short-term direction</w:t>
      </w:r>
      <w:r w:rsidR="00E77D79" w:rsidRPr="003E45EA">
        <w:rPr>
          <w:rFonts w:asciiTheme="majorHAnsi" w:hAnsiTheme="majorHAnsi" w:cstheme="majorHAnsi"/>
        </w:rPr>
        <w:t>.</w:t>
      </w:r>
      <w:r w:rsidR="00665AF3" w:rsidRPr="003E45EA">
        <w:rPr>
          <w:rFonts w:asciiTheme="majorHAnsi" w:hAnsiTheme="majorHAnsi" w:cstheme="majorHAnsi"/>
        </w:rPr>
        <w:t xml:space="preserve"> </w:t>
      </w:r>
      <w:r w:rsidR="00074A1A" w:rsidRPr="003E45EA">
        <w:rPr>
          <w:rFonts w:asciiTheme="majorHAnsi" w:hAnsiTheme="majorHAnsi" w:cstheme="majorHAnsi"/>
        </w:rPr>
        <w:t>T</w:t>
      </w:r>
      <w:r w:rsidR="00B02125" w:rsidRPr="003E45EA">
        <w:rPr>
          <w:rFonts w:asciiTheme="majorHAnsi" w:hAnsiTheme="majorHAnsi" w:cstheme="majorHAnsi"/>
        </w:rPr>
        <w:t xml:space="preserve">he </w:t>
      </w:r>
      <w:r w:rsidR="00074A1A" w:rsidRPr="003E45EA">
        <w:rPr>
          <w:rFonts w:asciiTheme="majorHAnsi" w:hAnsiTheme="majorHAnsi" w:cstheme="majorHAnsi"/>
        </w:rPr>
        <w:t>soft-landing</w:t>
      </w:r>
      <w:r w:rsidR="00B02125" w:rsidRPr="003E45EA">
        <w:rPr>
          <w:rFonts w:asciiTheme="majorHAnsi" w:hAnsiTheme="majorHAnsi" w:cstheme="majorHAnsi"/>
        </w:rPr>
        <w:t xml:space="preserve"> </w:t>
      </w:r>
      <w:r w:rsidR="00074A1A" w:rsidRPr="003E45EA">
        <w:rPr>
          <w:rFonts w:asciiTheme="majorHAnsi" w:hAnsiTheme="majorHAnsi" w:cstheme="majorHAnsi"/>
        </w:rPr>
        <w:t xml:space="preserve">expectations </w:t>
      </w:r>
      <w:r w:rsidR="00B02125" w:rsidRPr="003E45EA">
        <w:rPr>
          <w:rFonts w:asciiTheme="majorHAnsi" w:hAnsiTheme="majorHAnsi" w:cstheme="majorHAnsi"/>
        </w:rPr>
        <w:t xml:space="preserve">and </w:t>
      </w:r>
      <w:r w:rsidR="00B02125" w:rsidRPr="003E45EA">
        <w:rPr>
          <w:rFonts w:asciiTheme="majorHAnsi" w:hAnsiTheme="majorHAnsi" w:cstheme="majorHAnsi"/>
          <w:b/>
          <w:bCs/>
        </w:rPr>
        <w:t>economic recovery</w:t>
      </w:r>
      <w:r w:rsidR="00074A1A" w:rsidRPr="003E45EA">
        <w:rPr>
          <w:rFonts w:asciiTheme="majorHAnsi" w:hAnsiTheme="majorHAnsi" w:cstheme="majorHAnsi"/>
          <w:b/>
          <w:bCs/>
        </w:rPr>
        <w:t xml:space="preserve"> are still supported</w:t>
      </w:r>
      <w:r w:rsidR="00E77D79" w:rsidRPr="003E45EA">
        <w:rPr>
          <w:rFonts w:asciiTheme="majorHAnsi" w:hAnsiTheme="majorHAnsi" w:cstheme="majorHAnsi"/>
          <w:b/>
          <w:bCs/>
        </w:rPr>
        <w:t xml:space="preserve"> by the economic data</w:t>
      </w:r>
      <w:r w:rsidR="00854E2E" w:rsidRPr="003E45EA">
        <w:rPr>
          <w:rFonts w:asciiTheme="majorHAnsi" w:hAnsiTheme="majorHAnsi" w:cstheme="majorHAnsi"/>
        </w:rPr>
        <w:t>,</w:t>
      </w:r>
      <w:r w:rsidR="00B02125" w:rsidRPr="003E45EA">
        <w:rPr>
          <w:rFonts w:asciiTheme="majorHAnsi" w:hAnsiTheme="majorHAnsi" w:cstheme="majorHAnsi"/>
        </w:rPr>
        <w:t xml:space="preserve"> despite the </w:t>
      </w:r>
      <w:r w:rsidRPr="003E45EA">
        <w:rPr>
          <w:rFonts w:asciiTheme="majorHAnsi" w:hAnsiTheme="majorHAnsi" w:cstheme="majorHAnsi"/>
        </w:rPr>
        <w:t>recent volatility</w:t>
      </w:r>
      <w:r w:rsidR="001E16AE" w:rsidRPr="003E45EA">
        <w:rPr>
          <w:rFonts w:asciiTheme="majorHAnsi" w:hAnsiTheme="majorHAnsi" w:cstheme="majorHAnsi"/>
        </w:rPr>
        <w:t xml:space="preserve">. </w:t>
      </w:r>
    </w:p>
    <w:p w14:paraId="0AEB38DD" w14:textId="21131CCF" w:rsidR="001E16AE" w:rsidRPr="003E45EA" w:rsidRDefault="001E16AE" w:rsidP="001E16AE">
      <w:pPr>
        <w:spacing w:before="120" w:after="120"/>
        <w:rPr>
          <w:rFonts w:asciiTheme="majorHAnsi" w:hAnsiTheme="majorHAnsi" w:cstheme="majorHAnsi"/>
        </w:rPr>
      </w:pPr>
      <w:r w:rsidRPr="003E45EA">
        <w:rPr>
          <w:rFonts w:asciiTheme="majorHAnsi" w:hAnsiTheme="majorHAnsi" w:cstheme="majorHAnsi"/>
        </w:rPr>
        <w:t xml:space="preserve">The risk is that the conflict </w:t>
      </w:r>
      <w:r w:rsidR="00212DCC" w:rsidRPr="003E45EA">
        <w:rPr>
          <w:rFonts w:asciiTheme="majorHAnsi" w:hAnsiTheme="majorHAnsi" w:cstheme="majorHAnsi"/>
        </w:rPr>
        <w:t xml:space="preserve">in the middle east </w:t>
      </w:r>
      <w:r w:rsidRPr="003E45EA">
        <w:rPr>
          <w:rFonts w:asciiTheme="majorHAnsi" w:hAnsiTheme="majorHAnsi" w:cstheme="majorHAnsi"/>
        </w:rPr>
        <w:t>may escalate and involve neighbours which could then inflame the situation. While this situation continues</w:t>
      </w:r>
      <w:r w:rsidR="00E7618A" w:rsidRPr="003E45EA">
        <w:rPr>
          <w:rFonts w:asciiTheme="majorHAnsi" w:hAnsiTheme="majorHAnsi" w:cstheme="majorHAnsi"/>
        </w:rPr>
        <w:t xml:space="preserve"> and further sanctions are introduced</w:t>
      </w:r>
      <w:r w:rsidRPr="003E45EA">
        <w:rPr>
          <w:rFonts w:asciiTheme="majorHAnsi" w:hAnsiTheme="majorHAnsi" w:cstheme="majorHAnsi"/>
        </w:rPr>
        <w:t xml:space="preserve">, investors will be </w:t>
      </w:r>
      <w:r w:rsidR="007C64CC" w:rsidRPr="003E45EA">
        <w:rPr>
          <w:rFonts w:asciiTheme="majorHAnsi" w:hAnsiTheme="majorHAnsi" w:cstheme="majorHAnsi"/>
        </w:rPr>
        <w:t>cautious</w:t>
      </w:r>
      <w:r w:rsidRPr="003E45EA">
        <w:rPr>
          <w:rFonts w:asciiTheme="majorHAnsi" w:hAnsiTheme="majorHAnsi" w:cstheme="majorHAnsi"/>
        </w:rPr>
        <w:t xml:space="preserve"> </w:t>
      </w:r>
      <w:r w:rsidR="00B02125" w:rsidRPr="003E45EA">
        <w:rPr>
          <w:rFonts w:asciiTheme="majorHAnsi" w:hAnsiTheme="majorHAnsi" w:cstheme="majorHAnsi"/>
        </w:rPr>
        <w:t xml:space="preserve">around exposure to </w:t>
      </w:r>
      <w:r w:rsidR="002616C9" w:rsidRPr="003E45EA">
        <w:rPr>
          <w:rFonts w:asciiTheme="majorHAnsi" w:hAnsiTheme="majorHAnsi" w:cstheme="majorHAnsi"/>
        </w:rPr>
        <w:t>energy (</w:t>
      </w:r>
      <w:r w:rsidR="007145A7" w:rsidRPr="003E45EA">
        <w:rPr>
          <w:rFonts w:asciiTheme="majorHAnsi" w:hAnsiTheme="majorHAnsi" w:cstheme="majorHAnsi"/>
        </w:rPr>
        <w:t>oil,</w:t>
      </w:r>
      <w:r w:rsidR="00B02125" w:rsidRPr="003E45EA">
        <w:rPr>
          <w:rFonts w:asciiTheme="majorHAnsi" w:hAnsiTheme="majorHAnsi" w:cstheme="majorHAnsi"/>
        </w:rPr>
        <w:t xml:space="preserve"> and gas</w:t>
      </w:r>
      <w:r w:rsidR="002616C9" w:rsidRPr="003E45EA">
        <w:rPr>
          <w:rFonts w:asciiTheme="majorHAnsi" w:hAnsiTheme="majorHAnsi" w:cstheme="majorHAnsi"/>
        </w:rPr>
        <w:t>)</w:t>
      </w:r>
      <w:r w:rsidR="00B02125" w:rsidRPr="003E45EA">
        <w:rPr>
          <w:rFonts w:asciiTheme="majorHAnsi" w:hAnsiTheme="majorHAnsi" w:cstheme="majorHAnsi"/>
        </w:rPr>
        <w:t xml:space="preserve">, </w:t>
      </w:r>
      <w:r w:rsidRPr="003E45EA">
        <w:rPr>
          <w:rFonts w:asciiTheme="majorHAnsi" w:hAnsiTheme="majorHAnsi" w:cstheme="majorHAnsi"/>
        </w:rPr>
        <w:t>however an</w:t>
      </w:r>
      <w:r w:rsidR="003B1467" w:rsidRPr="003E45EA">
        <w:rPr>
          <w:rFonts w:asciiTheme="majorHAnsi" w:hAnsiTheme="majorHAnsi" w:cstheme="majorHAnsi"/>
        </w:rPr>
        <w:t>y</w:t>
      </w:r>
      <w:r w:rsidRPr="003E45EA">
        <w:rPr>
          <w:rFonts w:asciiTheme="majorHAnsi" w:hAnsiTheme="majorHAnsi" w:cstheme="majorHAnsi"/>
        </w:rPr>
        <w:t xml:space="preserve"> fall in </w:t>
      </w:r>
      <w:r w:rsidR="007C64CC" w:rsidRPr="003E45EA">
        <w:rPr>
          <w:rFonts w:asciiTheme="majorHAnsi" w:hAnsiTheme="majorHAnsi" w:cstheme="majorHAnsi"/>
        </w:rPr>
        <w:t xml:space="preserve">interest rates will spur buying in </w:t>
      </w:r>
      <w:r w:rsidRPr="003E45EA">
        <w:rPr>
          <w:rFonts w:asciiTheme="majorHAnsi" w:hAnsiTheme="majorHAnsi" w:cstheme="majorHAnsi"/>
        </w:rPr>
        <w:t xml:space="preserve">asset </w:t>
      </w:r>
      <w:r w:rsidR="007C64CC" w:rsidRPr="003E45EA">
        <w:rPr>
          <w:rFonts w:asciiTheme="majorHAnsi" w:hAnsiTheme="majorHAnsi" w:cstheme="majorHAnsi"/>
        </w:rPr>
        <w:t>classes that have been oversold in recent months (property</w:t>
      </w:r>
      <w:r w:rsidR="00E72E45" w:rsidRPr="003E45EA">
        <w:rPr>
          <w:rFonts w:asciiTheme="majorHAnsi" w:hAnsiTheme="majorHAnsi" w:cstheme="majorHAnsi"/>
        </w:rPr>
        <w:t xml:space="preserve">) </w:t>
      </w:r>
      <w:r w:rsidR="00D35CCF" w:rsidRPr="003E45EA">
        <w:rPr>
          <w:rFonts w:asciiTheme="majorHAnsi" w:hAnsiTheme="majorHAnsi" w:cstheme="majorHAnsi"/>
        </w:rPr>
        <w:t xml:space="preserve">however, the volatility of prices </w:t>
      </w:r>
      <w:r w:rsidR="002616C9" w:rsidRPr="003E45EA">
        <w:rPr>
          <w:rFonts w:asciiTheme="majorHAnsi" w:hAnsiTheme="majorHAnsi" w:cstheme="majorHAnsi"/>
        </w:rPr>
        <w:t>remai</w:t>
      </w:r>
      <w:r w:rsidR="00202136" w:rsidRPr="003E45EA">
        <w:rPr>
          <w:rFonts w:asciiTheme="majorHAnsi" w:hAnsiTheme="majorHAnsi" w:cstheme="majorHAnsi"/>
        </w:rPr>
        <w:t>ns elevated</w:t>
      </w:r>
      <w:r w:rsidR="002616C9" w:rsidRPr="003E45EA">
        <w:rPr>
          <w:rFonts w:asciiTheme="majorHAnsi" w:hAnsiTheme="majorHAnsi" w:cstheme="majorHAnsi"/>
        </w:rPr>
        <w:t>.</w:t>
      </w:r>
    </w:p>
    <w:p w14:paraId="6B8750FC" w14:textId="61617FBB" w:rsidR="007C64CC" w:rsidRPr="003E45EA" w:rsidRDefault="00BE0AFA" w:rsidP="00F6077E">
      <w:pPr>
        <w:rPr>
          <w:rFonts w:asciiTheme="majorHAnsi" w:hAnsiTheme="majorHAnsi" w:cstheme="majorHAnsi"/>
        </w:rPr>
      </w:pPr>
      <w:r w:rsidRPr="003E45EA">
        <w:rPr>
          <w:rFonts w:asciiTheme="majorHAnsi" w:hAnsiTheme="majorHAnsi" w:cstheme="majorHAnsi"/>
        </w:rPr>
        <w:t xml:space="preserve">The </w:t>
      </w:r>
      <w:r w:rsidRPr="003E45EA">
        <w:rPr>
          <w:rFonts w:asciiTheme="majorHAnsi" w:hAnsiTheme="majorHAnsi" w:cstheme="majorHAnsi"/>
          <w:b/>
          <w:bCs/>
        </w:rPr>
        <w:t>medium-term view remains positive</w:t>
      </w:r>
      <w:r w:rsidRPr="003E45EA">
        <w:rPr>
          <w:rFonts w:asciiTheme="majorHAnsi" w:hAnsiTheme="majorHAnsi" w:cstheme="majorHAnsi"/>
        </w:rPr>
        <w:t xml:space="preserve"> for returns </w:t>
      </w:r>
      <w:r w:rsidR="00F93370">
        <w:rPr>
          <w:rFonts w:asciiTheme="majorHAnsi" w:hAnsiTheme="majorHAnsi" w:cstheme="majorHAnsi"/>
        </w:rPr>
        <w:t>as</w:t>
      </w:r>
      <w:r w:rsidR="00897EBA" w:rsidRPr="003E45EA">
        <w:rPr>
          <w:rFonts w:asciiTheme="majorHAnsi" w:hAnsiTheme="majorHAnsi" w:cstheme="majorHAnsi"/>
        </w:rPr>
        <w:t xml:space="preserve"> </w:t>
      </w:r>
      <w:r w:rsidR="00816FD5" w:rsidRPr="003E45EA">
        <w:rPr>
          <w:rFonts w:asciiTheme="majorHAnsi" w:hAnsiTheme="majorHAnsi" w:cstheme="majorHAnsi"/>
        </w:rPr>
        <w:t xml:space="preserve">the </w:t>
      </w:r>
      <w:r w:rsidR="007C64CC" w:rsidRPr="003E45EA">
        <w:rPr>
          <w:rFonts w:asciiTheme="majorHAnsi" w:hAnsiTheme="majorHAnsi" w:cstheme="majorHAnsi"/>
        </w:rPr>
        <w:t xml:space="preserve">US Fed </w:t>
      </w:r>
      <w:r w:rsidR="00F93370" w:rsidRPr="003E45EA">
        <w:rPr>
          <w:rFonts w:asciiTheme="majorHAnsi" w:hAnsiTheme="majorHAnsi" w:cstheme="majorHAnsi"/>
        </w:rPr>
        <w:t>Chair;</w:t>
      </w:r>
      <w:r w:rsidR="00CF156A" w:rsidRPr="003E45EA">
        <w:rPr>
          <w:rFonts w:asciiTheme="majorHAnsi" w:hAnsiTheme="majorHAnsi" w:cstheme="majorHAnsi"/>
        </w:rPr>
        <w:t xml:space="preserve"> Jerome Powel</w:t>
      </w:r>
      <w:r w:rsidR="00816FD5" w:rsidRPr="003E45EA">
        <w:rPr>
          <w:rFonts w:asciiTheme="majorHAnsi" w:hAnsiTheme="majorHAnsi" w:cstheme="majorHAnsi"/>
        </w:rPr>
        <w:t xml:space="preserve">s </w:t>
      </w:r>
      <w:r w:rsidR="00F93370">
        <w:rPr>
          <w:rFonts w:asciiTheme="majorHAnsi" w:hAnsiTheme="majorHAnsi" w:cstheme="majorHAnsi"/>
        </w:rPr>
        <w:t>appears to have shifted his stance on</w:t>
      </w:r>
      <w:r w:rsidR="002671FD" w:rsidRPr="003E45EA">
        <w:rPr>
          <w:rFonts w:asciiTheme="majorHAnsi" w:hAnsiTheme="majorHAnsi" w:cstheme="majorHAnsi"/>
        </w:rPr>
        <w:t xml:space="preserve"> </w:t>
      </w:r>
      <w:r w:rsidR="00665AF3" w:rsidRPr="003E45EA">
        <w:rPr>
          <w:rFonts w:asciiTheme="majorHAnsi" w:hAnsiTheme="majorHAnsi" w:cstheme="majorHAnsi"/>
        </w:rPr>
        <w:t xml:space="preserve">further </w:t>
      </w:r>
      <w:r w:rsidR="00816FD5" w:rsidRPr="003E45EA">
        <w:rPr>
          <w:rFonts w:asciiTheme="majorHAnsi" w:hAnsiTheme="majorHAnsi" w:cstheme="majorHAnsi"/>
        </w:rPr>
        <w:t>easing of interest rates in the US</w:t>
      </w:r>
      <w:r w:rsidR="00D35CCF" w:rsidRPr="003E45EA">
        <w:rPr>
          <w:rFonts w:asciiTheme="majorHAnsi" w:hAnsiTheme="majorHAnsi" w:cstheme="majorHAnsi"/>
        </w:rPr>
        <w:t xml:space="preserve"> </w:t>
      </w:r>
      <w:r w:rsidR="00981955" w:rsidRPr="003E45EA">
        <w:rPr>
          <w:rFonts w:asciiTheme="majorHAnsi" w:hAnsiTheme="majorHAnsi" w:cstheme="majorHAnsi"/>
        </w:rPr>
        <w:t xml:space="preserve">for the rest of </w:t>
      </w:r>
      <w:r w:rsidR="00D35CCF" w:rsidRPr="003E45EA">
        <w:rPr>
          <w:rFonts w:asciiTheme="majorHAnsi" w:hAnsiTheme="majorHAnsi" w:cstheme="majorHAnsi"/>
        </w:rPr>
        <w:t>2025</w:t>
      </w:r>
      <w:r w:rsidR="00816FD5" w:rsidRPr="003E45EA">
        <w:rPr>
          <w:rFonts w:asciiTheme="majorHAnsi" w:hAnsiTheme="majorHAnsi" w:cstheme="majorHAnsi"/>
        </w:rPr>
        <w:t xml:space="preserve">. </w:t>
      </w:r>
      <w:r w:rsidR="00F93370">
        <w:rPr>
          <w:rFonts w:asciiTheme="majorHAnsi" w:hAnsiTheme="majorHAnsi" w:cstheme="majorHAnsi"/>
        </w:rPr>
        <w:t xml:space="preserve">It is </w:t>
      </w:r>
      <w:r w:rsidR="002D5B6B" w:rsidRPr="00F93370">
        <w:rPr>
          <w:rFonts w:asciiTheme="majorHAnsi" w:hAnsiTheme="majorHAnsi" w:cstheme="majorHAnsi"/>
          <w:b/>
          <w:bCs/>
        </w:rPr>
        <w:t>highly likely</w:t>
      </w:r>
      <w:r w:rsidR="00F93370" w:rsidRPr="00F93370">
        <w:rPr>
          <w:rFonts w:asciiTheme="majorHAnsi" w:hAnsiTheme="majorHAnsi" w:cstheme="majorHAnsi"/>
          <w:b/>
          <w:bCs/>
        </w:rPr>
        <w:t xml:space="preserve"> t</w:t>
      </w:r>
      <w:r w:rsidR="00F93370">
        <w:rPr>
          <w:rFonts w:asciiTheme="majorHAnsi" w:hAnsiTheme="majorHAnsi" w:cstheme="majorHAnsi"/>
          <w:b/>
          <w:bCs/>
        </w:rPr>
        <w:t>h</w:t>
      </w:r>
      <w:r w:rsidR="00F93370" w:rsidRPr="00F93370">
        <w:rPr>
          <w:rFonts w:asciiTheme="majorHAnsi" w:hAnsiTheme="majorHAnsi" w:cstheme="majorHAnsi"/>
          <w:b/>
          <w:bCs/>
        </w:rPr>
        <w:t>at the Fed will ease by 0.25%</w:t>
      </w:r>
      <w:r w:rsidR="00F93370">
        <w:rPr>
          <w:rFonts w:asciiTheme="majorHAnsi" w:hAnsiTheme="majorHAnsi" w:cstheme="majorHAnsi"/>
        </w:rPr>
        <w:t xml:space="preserve"> at the September 16</w:t>
      </w:r>
      <w:r w:rsidR="00F93370" w:rsidRPr="00F93370">
        <w:rPr>
          <w:rFonts w:asciiTheme="majorHAnsi" w:hAnsiTheme="majorHAnsi" w:cstheme="majorHAnsi"/>
          <w:vertAlign w:val="superscript"/>
        </w:rPr>
        <w:t>th</w:t>
      </w:r>
      <w:r w:rsidR="00F93370">
        <w:rPr>
          <w:rFonts w:asciiTheme="majorHAnsi" w:hAnsiTheme="majorHAnsi" w:cstheme="majorHAnsi"/>
        </w:rPr>
        <w:t>/17</w:t>
      </w:r>
      <w:r w:rsidR="00F93370" w:rsidRPr="00F93370">
        <w:rPr>
          <w:rFonts w:asciiTheme="majorHAnsi" w:hAnsiTheme="majorHAnsi" w:cstheme="majorHAnsi"/>
          <w:vertAlign w:val="superscript"/>
        </w:rPr>
        <w:t>th</w:t>
      </w:r>
      <w:r w:rsidR="00F93370">
        <w:rPr>
          <w:rFonts w:asciiTheme="majorHAnsi" w:hAnsiTheme="majorHAnsi" w:cstheme="majorHAnsi"/>
        </w:rPr>
        <w:t xml:space="preserve"> Meeting.</w:t>
      </w:r>
    </w:p>
    <w:p w14:paraId="024D1376" w14:textId="5D6A6459" w:rsidR="00524F93" w:rsidRPr="003E45EA" w:rsidRDefault="00524F93" w:rsidP="00524F93">
      <w:pPr>
        <w:rPr>
          <w:rFonts w:asciiTheme="majorHAnsi" w:hAnsiTheme="majorHAnsi" w:cstheme="majorHAnsi"/>
        </w:rPr>
      </w:pPr>
      <w:r w:rsidRPr="003E45EA">
        <w:rPr>
          <w:rFonts w:asciiTheme="majorHAnsi" w:hAnsiTheme="majorHAnsi" w:cstheme="majorHAnsi"/>
          <w:b/>
          <w:bCs/>
        </w:rPr>
        <w:t xml:space="preserve">Longer term </w:t>
      </w:r>
      <w:r w:rsidR="0089672B" w:rsidRPr="003E45EA">
        <w:rPr>
          <w:rFonts w:asciiTheme="majorHAnsi" w:hAnsiTheme="majorHAnsi" w:cstheme="majorHAnsi"/>
          <w:b/>
          <w:bCs/>
        </w:rPr>
        <w:t>investors</w:t>
      </w:r>
      <w:r w:rsidRPr="003E45EA">
        <w:rPr>
          <w:rFonts w:asciiTheme="majorHAnsi" w:hAnsiTheme="majorHAnsi" w:cstheme="majorHAnsi"/>
          <w:b/>
          <w:bCs/>
        </w:rPr>
        <w:t xml:space="preserve"> </w:t>
      </w:r>
      <w:r w:rsidR="007C64CC" w:rsidRPr="003E45EA">
        <w:rPr>
          <w:rFonts w:asciiTheme="majorHAnsi" w:hAnsiTheme="majorHAnsi" w:cstheme="majorHAnsi"/>
          <w:b/>
          <w:bCs/>
        </w:rPr>
        <w:t xml:space="preserve">are </w:t>
      </w:r>
      <w:r w:rsidRPr="003E45EA">
        <w:rPr>
          <w:rFonts w:asciiTheme="majorHAnsi" w:hAnsiTheme="majorHAnsi" w:cstheme="majorHAnsi"/>
          <w:b/>
          <w:bCs/>
        </w:rPr>
        <w:t>optimistic</w:t>
      </w:r>
      <w:r w:rsidRPr="003E45EA">
        <w:rPr>
          <w:rFonts w:asciiTheme="majorHAnsi" w:hAnsiTheme="majorHAnsi" w:cstheme="majorHAnsi"/>
        </w:rPr>
        <w:t xml:space="preserve"> for a </w:t>
      </w:r>
      <w:r w:rsidR="005D2FDE" w:rsidRPr="003E45EA">
        <w:rPr>
          <w:rFonts w:asciiTheme="majorHAnsi" w:hAnsiTheme="majorHAnsi" w:cstheme="majorHAnsi"/>
        </w:rPr>
        <w:t xml:space="preserve">recovery </w:t>
      </w:r>
      <w:r w:rsidRPr="003E45EA">
        <w:rPr>
          <w:rFonts w:asciiTheme="majorHAnsi" w:hAnsiTheme="majorHAnsi" w:cstheme="majorHAnsi"/>
        </w:rPr>
        <w:t xml:space="preserve">period ahead. Global Central Banks continue to indicate a resolve to get inflation under control however, the economic data is showing signs of </w:t>
      </w:r>
      <w:r w:rsidR="005F6840" w:rsidRPr="003E45EA">
        <w:rPr>
          <w:rFonts w:asciiTheme="majorHAnsi" w:hAnsiTheme="majorHAnsi" w:cstheme="majorHAnsi"/>
        </w:rPr>
        <w:t>a</w:t>
      </w:r>
      <w:r w:rsidR="00897EBA" w:rsidRPr="003E45EA">
        <w:rPr>
          <w:rFonts w:asciiTheme="majorHAnsi" w:hAnsiTheme="majorHAnsi" w:cstheme="majorHAnsi"/>
        </w:rPr>
        <w:t xml:space="preserve"> stabilising</w:t>
      </w:r>
      <w:r w:rsidRPr="003E45EA">
        <w:rPr>
          <w:rFonts w:asciiTheme="majorHAnsi" w:hAnsiTheme="majorHAnsi" w:cstheme="majorHAnsi"/>
        </w:rPr>
        <w:t xml:space="preserve"> </w:t>
      </w:r>
      <w:r w:rsidR="00212D0A" w:rsidRPr="003E45EA">
        <w:rPr>
          <w:rFonts w:asciiTheme="majorHAnsi" w:hAnsiTheme="majorHAnsi" w:cstheme="majorHAnsi"/>
        </w:rPr>
        <w:t>despite</w:t>
      </w:r>
      <w:r w:rsidR="005F6840" w:rsidRPr="003E45EA">
        <w:rPr>
          <w:rFonts w:asciiTheme="majorHAnsi" w:hAnsiTheme="majorHAnsi" w:cstheme="majorHAnsi"/>
        </w:rPr>
        <w:t xml:space="preserve"> </w:t>
      </w:r>
      <w:r w:rsidRPr="003E45EA">
        <w:rPr>
          <w:rFonts w:asciiTheme="majorHAnsi" w:hAnsiTheme="majorHAnsi" w:cstheme="majorHAnsi"/>
        </w:rPr>
        <w:t>inflation</w:t>
      </w:r>
      <w:r w:rsidR="007C64CC" w:rsidRPr="003E45EA">
        <w:rPr>
          <w:rFonts w:asciiTheme="majorHAnsi" w:hAnsiTheme="majorHAnsi" w:cstheme="majorHAnsi"/>
        </w:rPr>
        <w:t xml:space="preserve"> </w:t>
      </w:r>
      <w:r w:rsidR="00212D0A" w:rsidRPr="003E45EA">
        <w:rPr>
          <w:rFonts w:asciiTheme="majorHAnsi" w:hAnsiTheme="majorHAnsi" w:cstheme="majorHAnsi"/>
        </w:rPr>
        <w:t xml:space="preserve">being elevated </w:t>
      </w:r>
      <w:r w:rsidR="007C64CC" w:rsidRPr="003E45EA">
        <w:rPr>
          <w:rFonts w:asciiTheme="majorHAnsi" w:hAnsiTheme="majorHAnsi" w:cstheme="majorHAnsi"/>
        </w:rPr>
        <w:t xml:space="preserve">and every indication is for future easing in monetary policy </w:t>
      </w:r>
      <w:r w:rsidR="00897EBA" w:rsidRPr="003E45EA">
        <w:rPr>
          <w:rFonts w:asciiTheme="majorHAnsi" w:hAnsiTheme="majorHAnsi" w:cstheme="majorHAnsi"/>
        </w:rPr>
        <w:t xml:space="preserve">to be possible </w:t>
      </w:r>
      <w:r w:rsidR="005D2FDE" w:rsidRPr="003E45EA">
        <w:rPr>
          <w:rFonts w:asciiTheme="majorHAnsi" w:hAnsiTheme="majorHAnsi" w:cstheme="majorHAnsi"/>
        </w:rPr>
        <w:t>over</w:t>
      </w:r>
      <w:r w:rsidR="00665AF3" w:rsidRPr="003E45EA">
        <w:rPr>
          <w:rFonts w:asciiTheme="majorHAnsi" w:hAnsiTheme="majorHAnsi" w:cstheme="majorHAnsi"/>
        </w:rPr>
        <w:t xml:space="preserve"> 2025</w:t>
      </w:r>
      <w:r w:rsidR="007C64CC" w:rsidRPr="003E45EA">
        <w:rPr>
          <w:rFonts w:asciiTheme="majorHAnsi" w:hAnsiTheme="majorHAnsi" w:cstheme="majorHAnsi"/>
        </w:rPr>
        <w:t xml:space="preserve">. Remember </w:t>
      </w:r>
      <w:r w:rsidR="007C64CC" w:rsidRPr="003E45EA">
        <w:rPr>
          <w:rFonts w:asciiTheme="majorHAnsi" w:hAnsiTheme="majorHAnsi" w:cstheme="majorHAnsi"/>
          <w:b/>
          <w:bCs/>
        </w:rPr>
        <w:t>markets are forward looking</w:t>
      </w:r>
      <w:r w:rsidR="007C64CC" w:rsidRPr="003E45EA">
        <w:rPr>
          <w:rFonts w:asciiTheme="majorHAnsi" w:hAnsiTheme="majorHAnsi" w:cstheme="majorHAnsi"/>
        </w:rPr>
        <w:t xml:space="preserve"> so the support now is reflecting the expectations for conditions in </w:t>
      </w:r>
      <w:r w:rsidR="003F7106">
        <w:rPr>
          <w:rFonts w:asciiTheme="majorHAnsi" w:hAnsiTheme="majorHAnsi" w:cstheme="majorHAnsi"/>
        </w:rPr>
        <w:t>March</w:t>
      </w:r>
      <w:r w:rsidR="007C64CC" w:rsidRPr="003E45EA">
        <w:rPr>
          <w:rFonts w:asciiTheme="majorHAnsi" w:hAnsiTheme="majorHAnsi" w:cstheme="majorHAnsi"/>
        </w:rPr>
        <w:t xml:space="preserve"> 20</w:t>
      </w:r>
      <w:r w:rsidR="00847A22" w:rsidRPr="003E45EA">
        <w:rPr>
          <w:rFonts w:asciiTheme="majorHAnsi" w:hAnsiTheme="majorHAnsi" w:cstheme="majorHAnsi"/>
        </w:rPr>
        <w:t>26</w:t>
      </w:r>
      <w:r w:rsidR="007C64CC" w:rsidRPr="003E45EA">
        <w:rPr>
          <w:rFonts w:asciiTheme="majorHAnsi" w:hAnsiTheme="majorHAnsi" w:cstheme="majorHAnsi"/>
        </w:rPr>
        <w:t>.</w:t>
      </w:r>
      <w:r w:rsidRPr="003E45EA">
        <w:rPr>
          <w:rFonts w:asciiTheme="majorHAnsi" w:hAnsiTheme="majorHAnsi" w:cstheme="majorHAnsi"/>
        </w:rPr>
        <w:t xml:space="preserve"> </w:t>
      </w:r>
    </w:p>
    <w:p w14:paraId="6F8EECA2" w14:textId="3ECCB8C7" w:rsidR="00025089" w:rsidRPr="003E45EA" w:rsidRDefault="00025089" w:rsidP="008614EE">
      <w:pPr>
        <w:spacing w:before="120" w:after="120" w:line="240" w:lineRule="auto"/>
        <w:rPr>
          <w:rFonts w:asciiTheme="majorHAnsi" w:hAnsiTheme="majorHAnsi" w:cstheme="majorHAnsi"/>
          <w:b/>
          <w:bCs/>
        </w:rPr>
      </w:pPr>
      <w:r w:rsidRPr="003E45EA">
        <w:rPr>
          <w:rFonts w:asciiTheme="majorHAnsi" w:hAnsiTheme="majorHAnsi" w:cstheme="majorHAnsi"/>
          <w:b/>
          <w:bCs/>
        </w:rPr>
        <w:t xml:space="preserve">The following commentary is based on month-end closing prices as </w:t>
      </w:r>
      <w:r w:rsidR="00E97818" w:rsidRPr="003E45EA">
        <w:rPr>
          <w:rFonts w:asciiTheme="majorHAnsi" w:hAnsiTheme="majorHAnsi" w:cstheme="majorHAnsi"/>
          <w:b/>
          <w:bCs/>
        </w:rPr>
        <w:t>of</w:t>
      </w:r>
      <w:r w:rsidRPr="003E45EA">
        <w:rPr>
          <w:rFonts w:asciiTheme="majorHAnsi" w:hAnsiTheme="majorHAnsi" w:cstheme="majorHAnsi"/>
          <w:b/>
          <w:bCs/>
        </w:rPr>
        <w:t xml:space="preserve"> </w:t>
      </w:r>
      <w:r w:rsidR="00981955" w:rsidRPr="003E45EA">
        <w:rPr>
          <w:rFonts w:asciiTheme="majorHAnsi" w:hAnsiTheme="majorHAnsi" w:cstheme="majorHAnsi"/>
          <w:b/>
          <w:bCs/>
        </w:rPr>
        <w:t>3</w:t>
      </w:r>
      <w:r w:rsidR="00670AB6" w:rsidRPr="003E45EA">
        <w:rPr>
          <w:rFonts w:asciiTheme="majorHAnsi" w:hAnsiTheme="majorHAnsi" w:cstheme="majorHAnsi"/>
          <w:b/>
          <w:bCs/>
        </w:rPr>
        <w:t>0</w:t>
      </w:r>
      <w:r w:rsidR="00670AB6" w:rsidRPr="003E45EA">
        <w:rPr>
          <w:rFonts w:asciiTheme="majorHAnsi" w:hAnsiTheme="majorHAnsi" w:cstheme="majorHAnsi"/>
          <w:b/>
          <w:bCs/>
          <w:vertAlign w:val="superscript"/>
        </w:rPr>
        <w:t>th</w:t>
      </w:r>
      <w:r w:rsidR="00670AB6" w:rsidRPr="003E45EA">
        <w:rPr>
          <w:rFonts w:asciiTheme="majorHAnsi" w:hAnsiTheme="majorHAnsi" w:cstheme="majorHAnsi"/>
          <w:b/>
          <w:bCs/>
        </w:rPr>
        <w:t xml:space="preserve"> </w:t>
      </w:r>
      <w:r w:rsidR="00A9603C">
        <w:rPr>
          <w:rFonts w:asciiTheme="majorHAnsi" w:hAnsiTheme="majorHAnsi" w:cstheme="majorHAnsi"/>
          <w:b/>
          <w:bCs/>
        </w:rPr>
        <w:t>August</w:t>
      </w:r>
      <w:r w:rsidRPr="003E45EA">
        <w:rPr>
          <w:rFonts w:asciiTheme="majorHAnsi" w:hAnsiTheme="majorHAnsi" w:cstheme="majorHAnsi"/>
          <w:b/>
          <w:bCs/>
        </w:rPr>
        <w:t xml:space="preserve"> </w:t>
      </w:r>
      <w:r w:rsidR="002F0E91" w:rsidRPr="003E45EA">
        <w:rPr>
          <w:rFonts w:asciiTheme="majorHAnsi" w:hAnsiTheme="majorHAnsi" w:cstheme="majorHAnsi"/>
          <w:b/>
          <w:bCs/>
        </w:rPr>
        <w:t>202</w:t>
      </w:r>
      <w:r w:rsidR="00A22C87" w:rsidRPr="003E45EA">
        <w:rPr>
          <w:rFonts w:asciiTheme="majorHAnsi" w:hAnsiTheme="majorHAnsi" w:cstheme="majorHAnsi"/>
          <w:b/>
          <w:bCs/>
        </w:rPr>
        <w:t>5</w:t>
      </w:r>
      <w:r w:rsidR="00181027" w:rsidRPr="003E45EA">
        <w:rPr>
          <w:rFonts w:asciiTheme="majorHAnsi" w:hAnsiTheme="majorHAnsi" w:cstheme="majorHAnsi"/>
          <w:b/>
          <w:bCs/>
        </w:rPr>
        <w:t>:</w:t>
      </w:r>
      <w:r w:rsidRPr="003E45EA">
        <w:rPr>
          <w:rFonts w:asciiTheme="majorHAnsi" w:hAnsiTheme="majorHAnsi" w:cstheme="majorHAnsi"/>
          <w:b/>
          <w:bCs/>
        </w:rPr>
        <w:t xml:space="preserve"> </w:t>
      </w:r>
    </w:p>
    <w:p w14:paraId="1C9B1309" w14:textId="6E0A33ED" w:rsidR="00A769F6" w:rsidRPr="003E45EA" w:rsidRDefault="007B239A" w:rsidP="009E7EF6">
      <w:pPr>
        <w:spacing w:before="120" w:after="120" w:line="240" w:lineRule="auto"/>
        <w:rPr>
          <w:rFonts w:asciiTheme="majorHAnsi" w:hAnsiTheme="majorHAnsi" w:cstheme="majorHAnsi"/>
        </w:rPr>
      </w:pPr>
      <w:r w:rsidRPr="003E45EA">
        <w:rPr>
          <w:rFonts w:asciiTheme="majorHAnsi" w:hAnsiTheme="majorHAnsi" w:cstheme="majorHAnsi"/>
        </w:rPr>
        <w:t xml:space="preserve">Global </w:t>
      </w:r>
      <w:r w:rsidR="00CB2DF1" w:rsidRPr="003E45EA">
        <w:rPr>
          <w:rFonts w:asciiTheme="majorHAnsi" w:hAnsiTheme="majorHAnsi" w:cstheme="majorHAnsi"/>
        </w:rPr>
        <w:t xml:space="preserve">share </w:t>
      </w:r>
      <w:r w:rsidR="00F82AE9" w:rsidRPr="003E45EA">
        <w:rPr>
          <w:rFonts w:asciiTheme="majorHAnsi" w:hAnsiTheme="majorHAnsi" w:cstheme="majorHAnsi"/>
        </w:rPr>
        <w:t xml:space="preserve">markets </w:t>
      </w:r>
      <w:r w:rsidR="00FA390E" w:rsidRPr="003E45EA">
        <w:rPr>
          <w:rFonts w:asciiTheme="majorHAnsi" w:hAnsiTheme="majorHAnsi" w:cstheme="majorHAnsi"/>
        </w:rPr>
        <w:t xml:space="preserve">over </w:t>
      </w:r>
      <w:r w:rsidR="00A9603C">
        <w:rPr>
          <w:rFonts w:asciiTheme="majorHAnsi" w:hAnsiTheme="majorHAnsi" w:cstheme="majorHAnsi"/>
        </w:rPr>
        <w:t>August</w:t>
      </w:r>
      <w:r w:rsidR="00B752EF" w:rsidRPr="003E45EA">
        <w:rPr>
          <w:rFonts w:asciiTheme="majorHAnsi" w:hAnsiTheme="majorHAnsi" w:cstheme="majorHAnsi"/>
        </w:rPr>
        <w:t xml:space="preserve"> were</w:t>
      </w:r>
      <w:r w:rsidR="00FD39EE" w:rsidRPr="003E45EA">
        <w:rPr>
          <w:rFonts w:asciiTheme="majorHAnsi" w:hAnsiTheme="majorHAnsi" w:cstheme="majorHAnsi"/>
        </w:rPr>
        <w:t xml:space="preserve"> </w:t>
      </w:r>
      <w:r w:rsidR="00A9603C">
        <w:rPr>
          <w:rFonts w:asciiTheme="majorHAnsi" w:hAnsiTheme="majorHAnsi" w:cstheme="majorHAnsi"/>
        </w:rPr>
        <w:t>firm but mixed in Asia</w:t>
      </w:r>
      <w:r w:rsidR="00FD39EE" w:rsidRPr="003E45EA">
        <w:rPr>
          <w:rFonts w:asciiTheme="majorHAnsi" w:hAnsiTheme="majorHAnsi" w:cstheme="majorHAnsi"/>
        </w:rPr>
        <w:t xml:space="preserve"> </w:t>
      </w:r>
      <w:r w:rsidR="00131EB9" w:rsidRPr="003E45EA">
        <w:rPr>
          <w:rFonts w:asciiTheme="majorHAnsi" w:hAnsiTheme="majorHAnsi" w:cstheme="majorHAnsi"/>
        </w:rPr>
        <w:t xml:space="preserve">with </w:t>
      </w:r>
      <w:r w:rsidR="00A769F6" w:rsidRPr="003E45EA">
        <w:rPr>
          <w:rFonts w:asciiTheme="majorHAnsi" w:hAnsiTheme="majorHAnsi" w:cstheme="majorHAnsi"/>
        </w:rPr>
        <w:t xml:space="preserve">returns </w:t>
      </w:r>
      <w:r w:rsidR="00FD39EE" w:rsidRPr="003E45EA">
        <w:rPr>
          <w:rFonts w:asciiTheme="majorHAnsi" w:hAnsiTheme="majorHAnsi" w:cstheme="majorHAnsi"/>
        </w:rPr>
        <w:t xml:space="preserve">recovering despite the </w:t>
      </w:r>
      <w:r w:rsidR="00981955" w:rsidRPr="003E45EA">
        <w:rPr>
          <w:rFonts w:asciiTheme="majorHAnsi" w:hAnsiTheme="majorHAnsi" w:cstheme="majorHAnsi"/>
        </w:rPr>
        <w:t xml:space="preserve">ongoing </w:t>
      </w:r>
      <w:r w:rsidR="005D2FDE" w:rsidRPr="003E45EA">
        <w:rPr>
          <w:rFonts w:asciiTheme="majorHAnsi" w:hAnsiTheme="majorHAnsi" w:cstheme="majorHAnsi"/>
        </w:rPr>
        <w:t>tariff situation</w:t>
      </w:r>
      <w:r w:rsidR="002344AE" w:rsidRPr="003E45EA">
        <w:rPr>
          <w:rFonts w:asciiTheme="majorHAnsi" w:hAnsiTheme="majorHAnsi" w:cstheme="majorHAnsi"/>
        </w:rPr>
        <w:t xml:space="preserve"> and changing bouts of volatility</w:t>
      </w:r>
      <w:r w:rsidR="00A101AB" w:rsidRPr="003E45EA">
        <w:rPr>
          <w:rFonts w:asciiTheme="majorHAnsi" w:hAnsiTheme="majorHAnsi" w:cstheme="majorHAnsi"/>
        </w:rPr>
        <w:t xml:space="preserve"> after every </w:t>
      </w:r>
      <w:r w:rsidR="00ED4632">
        <w:rPr>
          <w:rFonts w:asciiTheme="majorHAnsi" w:hAnsiTheme="majorHAnsi" w:cstheme="majorHAnsi"/>
        </w:rPr>
        <w:t xml:space="preserve">tariff </w:t>
      </w:r>
      <w:r w:rsidR="00A101AB" w:rsidRPr="003E45EA">
        <w:rPr>
          <w:rFonts w:asciiTheme="majorHAnsi" w:hAnsiTheme="majorHAnsi" w:cstheme="majorHAnsi"/>
        </w:rPr>
        <w:t>announcement</w:t>
      </w:r>
      <w:r w:rsidR="005D2FDE" w:rsidRPr="003E45EA">
        <w:rPr>
          <w:rFonts w:asciiTheme="majorHAnsi" w:hAnsiTheme="majorHAnsi" w:cstheme="majorHAnsi"/>
        </w:rPr>
        <w:t>. The AUD/</w:t>
      </w:r>
      <w:r w:rsidR="00A769F6" w:rsidRPr="003E45EA">
        <w:rPr>
          <w:rFonts w:asciiTheme="majorHAnsi" w:hAnsiTheme="majorHAnsi" w:cstheme="majorHAnsi"/>
        </w:rPr>
        <w:t>USD</w:t>
      </w:r>
      <w:r w:rsidR="00A22C87" w:rsidRPr="003E45EA">
        <w:rPr>
          <w:rFonts w:asciiTheme="majorHAnsi" w:hAnsiTheme="majorHAnsi" w:cstheme="majorHAnsi"/>
        </w:rPr>
        <w:t xml:space="preserve"> </w:t>
      </w:r>
      <w:r w:rsidR="00A9603C">
        <w:rPr>
          <w:rFonts w:asciiTheme="majorHAnsi" w:hAnsiTheme="majorHAnsi" w:cstheme="majorHAnsi"/>
        </w:rPr>
        <w:t>strengthen</w:t>
      </w:r>
      <w:r w:rsidR="00A101AB" w:rsidRPr="003E45EA">
        <w:rPr>
          <w:rFonts w:asciiTheme="majorHAnsi" w:hAnsiTheme="majorHAnsi" w:cstheme="majorHAnsi"/>
        </w:rPr>
        <w:t>ed</w:t>
      </w:r>
      <w:r w:rsidR="00A769F6" w:rsidRPr="003E45EA">
        <w:rPr>
          <w:rFonts w:asciiTheme="majorHAnsi" w:hAnsiTheme="majorHAnsi" w:cstheme="majorHAnsi"/>
        </w:rPr>
        <w:t xml:space="preserve"> from 0.6</w:t>
      </w:r>
      <w:r w:rsidR="00A9603C">
        <w:rPr>
          <w:rFonts w:asciiTheme="majorHAnsi" w:hAnsiTheme="majorHAnsi" w:cstheme="majorHAnsi"/>
        </w:rPr>
        <w:t>469</w:t>
      </w:r>
      <w:r w:rsidR="00A769F6" w:rsidRPr="003E45EA">
        <w:rPr>
          <w:rFonts w:asciiTheme="majorHAnsi" w:hAnsiTheme="majorHAnsi" w:cstheme="majorHAnsi"/>
        </w:rPr>
        <w:t xml:space="preserve"> to 0.6</w:t>
      </w:r>
      <w:r w:rsidR="00A9603C">
        <w:rPr>
          <w:rFonts w:asciiTheme="majorHAnsi" w:hAnsiTheme="majorHAnsi" w:cstheme="majorHAnsi"/>
        </w:rPr>
        <w:t>538</w:t>
      </w:r>
      <w:r w:rsidR="005D2FDE" w:rsidRPr="003E45EA">
        <w:rPr>
          <w:rFonts w:asciiTheme="majorHAnsi" w:hAnsiTheme="majorHAnsi" w:cstheme="majorHAnsi"/>
        </w:rPr>
        <w:t xml:space="preserve"> (</w:t>
      </w:r>
      <w:r w:rsidR="00A9603C">
        <w:rPr>
          <w:rFonts w:asciiTheme="majorHAnsi" w:hAnsiTheme="majorHAnsi" w:cstheme="majorHAnsi"/>
        </w:rPr>
        <w:t>+1.07</w:t>
      </w:r>
      <w:r w:rsidR="005D2FDE" w:rsidRPr="003E45EA">
        <w:rPr>
          <w:rFonts w:asciiTheme="majorHAnsi" w:hAnsiTheme="majorHAnsi" w:cstheme="majorHAnsi"/>
        </w:rPr>
        <w:t>%)</w:t>
      </w:r>
      <w:r w:rsidR="00A769F6" w:rsidRPr="003E45EA">
        <w:rPr>
          <w:rFonts w:asciiTheme="majorHAnsi" w:hAnsiTheme="majorHAnsi" w:cstheme="majorHAnsi"/>
        </w:rPr>
        <w:t xml:space="preserve">. The AUD/USD has since </w:t>
      </w:r>
      <w:r w:rsidR="00A9603C">
        <w:rPr>
          <w:rFonts w:asciiTheme="majorHAnsi" w:hAnsiTheme="majorHAnsi" w:cstheme="majorHAnsi"/>
        </w:rPr>
        <w:t>shifted</w:t>
      </w:r>
      <w:r w:rsidR="00FD39EE" w:rsidRPr="003E45EA">
        <w:rPr>
          <w:rFonts w:asciiTheme="majorHAnsi" w:hAnsiTheme="majorHAnsi" w:cstheme="majorHAnsi"/>
        </w:rPr>
        <w:t xml:space="preserve"> higher </w:t>
      </w:r>
      <w:r w:rsidR="00A769F6" w:rsidRPr="003E45EA">
        <w:rPr>
          <w:rFonts w:asciiTheme="majorHAnsi" w:hAnsiTheme="majorHAnsi" w:cstheme="majorHAnsi"/>
        </w:rPr>
        <w:t xml:space="preserve">in recent trading </w:t>
      </w:r>
      <w:r w:rsidR="00A9603C">
        <w:rPr>
          <w:rFonts w:asciiTheme="majorHAnsi" w:hAnsiTheme="majorHAnsi" w:cstheme="majorHAnsi"/>
        </w:rPr>
        <w:t>hitting</w:t>
      </w:r>
      <w:r w:rsidR="00A22C87" w:rsidRPr="003E45EA">
        <w:rPr>
          <w:rFonts w:asciiTheme="majorHAnsi" w:hAnsiTheme="majorHAnsi" w:cstheme="majorHAnsi"/>
        </w:rPr>
        <w:t xml:space="preserve"> 0.6</w:t>
      </w:r>
      <w:r w:rsidR="00A9603C">
        <w:rPr>
          <w:rFonts w:asciiTheme="majorHAnsi" w:hAnsiTheme="majorHAnsi" w:cstheme="majorHAnsi"/>
        </w:rPr>
        <w:t>662</w:t>
      </w:r>
      <w:r w:rsidR="00A22C87" w:rsidRPr="003E45EA">
        <w:rPr>
          <w:rFonts w:asciiTheme="majorHAnsi" w:hAnsiTheme="majorHAnsi" w:cstheme="majorHAnsi"/>
        </w:rPr>
        <w:t xml:space="preserve"> </w:t>
      </w:r>
      <w:r w:rsidR="002344AE" w:rsidRPr="003E45EA">
        <w:rPr>
          <w:rFonts w:asciiTheme="majorHAnsi" w:hAnsiTheme="majorHAnsi" w:cstheme="majorHAnsi"/>
        </w:rPr>
        <w:t>(</w:t>
      </w:r>
      <w:r w:rsidR="00FD39EE" w:rsidRPr="003E45EA">
        <w:rPr>
          <w:rFonts w:asciiTheme="majorHAnsi" w:hAnsiTheme="majorHAnsi" w:cstheme="majorHAnsi"/>
        </w:rPr>
        <w:t>+1.</w:t>
      </w:r>
      <w:r w:rsidR="00A9603C">
        <w:rPr>
          <w:rFonts w:asciiTheme="majorHAnsi" w:hAnsiTheme="majorHAnsi" w:cstheme="majorHAnsi"/>
        </w:rPr>
        <w:t>9</w:t>
      </w:r>
      <w:r w:rsidR="00ED4632">
        <w:rPr>
          <w:rFonts w:asciiTheme="majorHAnsi" w:hAnsiTheme="majorHAnsi" w:cstheme="majorHAnsi"/>
        </w:rPr>
        <w:t>0</w:t>
      </w:r>
      <w:r w:rsidR="00FD39EE" w:rsidRPr="003E45EA">
        <w:rPr>
          <w:rFonts w:asciiTheme="majorHAnsi" w:hAnsiTheme="majorHAnsi" w:cstheme="majorHAnsi"/>
        </w:rPr>
        <w:t>%</w:t>
      </w:r>
      <w:r w:rsidR="002344AE" w:rsidRPr="003E45EA">
        <w:rPr>
          <w:rFonts w:asciiTheme="majorHAnsi" w:hAnsiTheme="majorHAnsi" w:cstheme="majorHAnsi"/>
        </w:rPr>
        <w:t xml:space="preserve">) </w:t>
      </w:r>
      <w:r w:rsidR="00981955" w:rsidRPr="003E45EA">
        <w:rPr>
          <w:rFonts w:asciiTheme="majorHAnsi" w:hAnsiTheme="majorHAnsi" w:cstheme="majorHAnsi"/>
        </w:rPr>
        <w:t xml:space="preserve">as </w:t>
      </w:r>
      <w:r w:rsidR="00FD39EE" w:rsidRPr="003E45EA">
        <w:rPr>
          <w:rFonts w:asciiTheme="majorHAnsi" w:hAnsiTheme="majorHAnsi" w:cstheme="majorHAnsi"/>
        </w:rPr>
        <w:t>of</w:t>
      </w:r>
      <w:r w:rsidR="00981955" w:rsidRPr="003E45EA">
        <w:rPr>
          <w:rFonts w:asciiTheme="majorHAnsi" w:hAnsiTheme="majorHAnsi" w:cstheme="majorHAnsi"/>
        </w:rPr>
        <w:t xml:space="preserve"> 1</w:t>
      </w:r>
      <w:r w:rsidR="00A9603C">
        <w:rPr>
          <w:rFonts w:asciiTheme="majorHAnsi" w:hAnsiTheme="majorHAnsi" w:cstheme="majorHAnsi"/>
        </w:rPr>
        <w:t>5</w:t>
      </w:r>
      <w:r w:rsidR="00981955" w:rsidRPr="003E45EA">
        <w:rPr>
          <w:rFonts w:asciiTheme="majorHAnsi" w:hAnsiTheme="majorHAnsi" w:cstheme="majorHAnsi"/>
          <w:vertAlign w:val="superscript"/>
        </w:rPr>
        <w:t>th</w:t>
      </w:r>
      <w:r w:rsidR="00981955" w:rsidRPr="003E45EA">
        <w:rPr>
          <w:rFonts w:asciiTheme="majorHAnsi" w:hAnsiTheme="majorHAnsi" w:cstheme="majorHAnsi"/>
        </w:rPr>
        <w:t xml:space="preserve"> </w:t>
      </w:r>
      <w:r w:rsidR="00A9603C">
        <w:rPr>
          <w:rFonts w:asciiTheme="majorHAnsi" w:hAnsiTheme="majorHAnsi" w:cstheme="majorHAnsi"/>
        </w:rPr>
        <w:t>September</w:t>
      </w:r>
      <w:r w:rsidR="00981955" w:rsidRPr="003E45EA">
        <w:rPr>
          <w:rFonts w:asciiTheme="majorHAnsi" w:hAnsiTheme="majorHAnsi" w:cstheme="majorHAnsi"/>
        </w:rPr>
        <w:t xml:space="preserve"> 2025</w:t>
      </w:r>
      <w:r w:rsidR="00A769F6" w:rsidRPr="003E45EA">
        <w:rPr>
          <w:rFonts w:asciiTheme="majorHAnsi" w:hAnsiTheme="majorHAnsi" w:cstheme="majorHAnsi"/>
        </w:rPr>
        <w:t>.</w:t>
      </w:r>
    </w:p>
    <w:p w14:paraId="2DCB7E32" w14:textId="5EAD1C59" w:rsidR="000678BF" w:rsidRPr="003E45EA" w:rsidRDefault="00BC0503" w:rsidP="009E7EF6">
      <w:pPr>
        <w:spacing w:before="120" w:after="120" w:line="240" w:lineRule="auto"/>
        <w:rPr>
          <w:rFonts w:asciiTheme="majorHAnsi" w:hAnsiTheme="majorHAnsi" w:cstheme="majorHAnsi"/>
        </w:rPr>
      </w:pPr>
      <w:r w:rsidRPr="003E45EA">
        <w:rPr>
          <w:rFonts w:asciiTheme="majorHAnsi" w:hAnsiTheme="majorHAnsi" w:cstheme="majorHAnsi"/>
        </w:rPr>
        <w:t xml:space="preserve">The US </w:t>
      </w:r>
      <w:r w:rsidR="00FD39EE" w:rsidRPr="003E45EA">
        <w:rPr>
          <w:rFonts w:asciiTheme="majorHAnsi" w:hAnsiTheme="majorHAnsi" w:cstheme="majorHAnsi"/>
        </w:rPr>
        <w:t>Fed le</w:t>
      </w:r>
      <w:r w:rsidR="00ED4632">
        <w:rPr>
          <w:rFonts w:asciiTheme="majorHAnsi" w:hAnsiTheme="majorHAnsi" w:cstheme="majorHAnsi"/>
        </w:rPr>
        <w:t>ft</w:t>
      </w:r>
      <w:r w:rsidR="00FD39EE" w:rsidRPr="003E45EA">
        <w:rPr>
          <w:rFonts w:asciiTheme="majorHAnsi" w:hAnsiTheme="majorHAnsi" w:cstheme="majorHAnsi"/>
        </w:rPr>
        <w:t xml:space="preserve"> the </w:t>
      </w:r>
      <w:r w:rsidRPr="00ED4632">
        <w:rPr>
          <w:rFonts w:asciiTheme="majorHAnsi" w:hAnsiTheme="majorHAnsi" w:cstheme="majorHAnsi"/>
          <w:b/>
          <w:bCs/>
        </w:rPr>
        <w:t xml:space="preserve">monetary policy </w:t>
      </w:r>
      <w:r w:rsidR="00FD39EE" w:rsidRPr="00ED4632">
        <w:rPr>
          <w:rFonts w:asciiTheme="majorHAnsi" w:hAnsiTheme="majorHAnsi" w:cstheme="majorHAnsi"/>
          <w:b/>
          <w:bCs/>
        </w:rPr>
        <w:t>unchanged</w:t>
      </w:r>
      <w:r w:rsidR="00FD39EE" w:rsidRPr="003E45EA">
        <w:rPr>
          <w:rFonts w:asciiTheme="majorHAnsi" w:hAnsiTheme="majorHAnsi" w:cstheme="majorHAnsi"/>
        </w:rPr>
        <w:t xml:space="preserve"> with the </w:t>
      </w:r>
      <w:r w:rsidRPr="003E45EA">
        <w:rPr>
          <w:rFonts w:asciiTheme="majorHAnsi" w:hAnsiTheme="majorHAnsi" w:cstheme="majorHAnsi"/>
        </w:rPr>
        <w:t xml:space="preserve">target range for federal funds </w:t>
      </w:r>
      <w:r w:rsidR="00A22C87" w:rsidRPr="003E45EA">
        <w:rPr>
          <w:rFonts w:asciiTheme="majorHAnsi" w:hAnsiTheme="majorHAnsi" w:cstheme="majorHAnsi"/>
        </w:rPr>
        <w:t>at</w:t>
      </w:r>
      <w:r w:rsidRPr="003E45EA">
        <w:rPr>
          <w:rFonts w:asciiTheme="majorHAnsi" w:hAnsiTheme="majorHAnsi" w:cstheme="majorHAnsi"/>
        </w:rPr>
        <w:t xml:space="preserve"> </w:t>
      </w:r>
      <w:r w:rsidRPr="003E45EA">
        <w:rPr>
          <w:rFonts w:asciiTheme="majorHAnsi" w:hAnsiTheme="majorHAnsi" w:cstheme="majorHAnsi"/>
          <w:b/>
          <w:bCs/>
        </w:rPr>
        <w:t>4.25%-4.50%</w:t>
      </w:r>
      <w:r w:rsidRPr="003E45EA">
        <w:rPr>
          <w:rFonts w:asciiTheme="majorHAnsi" w:hAnsiTheme="majorHAnsi" w:cstheme="majorHAnsi"/>
        </w:rPr>
        <w:t xml:space="preserve"> when it met on the </w:t>
      </w:r>
      <w:r w:rsidR="00ED4632">
        <w:rPr>
          <w:rFonts w:asciiTheme="majorHAnsi" w:hAnsiTheme="majorHAnsi" w:cstheme="majorHAnsi"/>
        </w:rPr>
        <w:t>29</w:t>
      </w:r>
      <w:r w:rsidR="00ED4632" w:rsidRPr="00ED4632">
        <w:rPr>
          <w:rFonts w:asciiTheme="majorHAnsi" w:hAnsiTheme="majorHAnsi" w:cstheme="majorHAnsi"/>
          <w:vertAlign w:val="superscript"/>
        </w:rPr>
        <w:t>th</w:t>
      </w:r>
      <w:r w:rsidR="000678BF" w:rsidRPr="003E45EA">
        <w:rPr>
          <w:rFonts w:asciiTheme="majorHAnsi" w:hAnsiTheme="majorHAnsi" w:cstheme="majorHAnsi"/>
        </w:rPr>
        <w:t>/</w:t>
      </w:r>
      <w:r w:rsidR="00ED4632">
        <w:rPr>
          <w:rFonts w:asciiTheme="majorHAnsi" w:hAnsiTheme="majorHAnsi" w:cstheme="majorHAnsi"/>
        </w:rPr>
        <w:t>30</w:t>
      </w:r>
      <w:r w:rsidRPr="003E45EA">
        <w:rPr>
          <w:rFonts w:asciiTheme="majorHAnsi" w:hAnsiTheme="majorHAnsi" w:cstheme="majorHAnsi"/>
          <w:vertAlign w:val="superscript"/>
        </w:rPr>
        <w:t>th</w:t>
      </w:r>
      <w:r w:rsidRPr="003E45EA">
        <w:rPr>
          <w:rFonts w:asciiTheme="majorHAnsi" w:hAnsiTheme="majorHAnsi" w:cstheme="majorHAnsi"/>
        </w:rPr>
        <w:t xml:space="preserve"> </w:t>
      </w:r>
      <w:r w:rsidR="00FD39EE" w:rsidRPr="003E45EA">
        <w:rPr>
          <w:rFonts w:asciiTheme="majorHAnsi" w:hAnsiTheme="majorHAnsi" w:cstheme="majorHAnsi"/>
        </w:rPr>
        <w:t>Ju</w:t>
      </w:r>
      <w:r w:rsidR="00ED4632">
        <w:rPr>
          <w:rFonts w:asciiTheme="majorHAnsi" w:hAnsiTheme="majorHAnsi" w:cstheme="majorHAnsi"/>
        </w:rPr>
        <w:t>ly</w:t>
      </w:r>
      <w:r w:rsidRPr="003E45EA">
        <w:rPr>
          <w:rFonts w:asciiTheme="majorHAnsi" w:hAnsiTheme="majorHAnsi" w:cstheme="majorHAnsi"/>
        </w:rPr>
        <w:t xml:space="preserve"> 202</w:t>
      </w:r>
      <w:r w:rsidR="000678BF" w:rsidRPr="003E45EA">
        <w:rPr>
          <w:rFonts w:asciiTheme="majorHAnsi" w:hAnsiTheme="majorHAnsi" w:cstheme="majorHAnsi"/>
        </w:rPr>
        <w:t>5</w:t>
      </w:r>
      <w:r w:rsidRPr="003E45EA">
        <w:rPr>
          <w:rFonts w:asciiTheme="majorHAnsi" w:hAnsiTheme="majorHAnsi" w:cstheme="majorHAnsi"/>
        </w:rPr>
        <w:t>. Investors are gaining more confidence that the economy is headed for a soft landing</w:t>
      </w:r>
      <w:r w:rsidR="002344AE" w:rsidRPr="003E45EA">
        <w:rPr>
          <w:rFonts w:asciiTheme="majorHAnsi" w:hAnsiTheme="majorHAnsi" w:cstheme="majorHAnsi"/>
        </w:rPr>
        <w:t xml:space="preserve"> despite the intermittent </w:t>
      </w:r>
      <w:r w:rsidR="00D52F46" w:rsidRPr="003E45EA">
        <w:rPr>
          <w:rFonts w:asciiTheme="majorHAnsi" w:hAnsiTheme="majorHAnsi" w:cstheme="majorHAnsi"/>
        </w:rPr>
        <w:t xml:space="preserve">bouts of </w:t>
      </w:r>
      <w:r w:rsidR="002344AE" w:rsidRPr="003E45EA">
        <w:rPr>
          <w:rFonts w:asciiTheme="majorHAnsi" w:hAnsiTheme="majorHAnsi" w:cstheme="majorHAnsi"/>
        </w:rPr>
        <w:t>volatility</w:t>
      </w:r>
      <w:r w:rsidRPr="003E45EA">
        <w:rPr>
          <w:rFonts w:asciiTheme="majorHAnsi" w:hAnsiTheme="majorHAnsi" w:cstheme="majorHAnsi"/>
        </w:rPr>
        <w:t xml:space="preserve">. </w:t>
      </w:r>
      <w:r w:rsidR="00ED4632">
        <w:rPr>
          <w:rFonts w:asciiTheme="majorHAnsi" w:hAnsiTheme="majorHAnsi" w:cstheme="majorHAnsi"/>
        </w:rPr>
        <w:t xml:space="preserve">The next Fed meeting is on the </w:t>
      </w:r>
      <w:r w:rsidR="00ED4632" w:rsidRPr="00ED4632">
        <w:rPr>
          <w:rFonts w:asciiTheme="majorHAnsi" w:hAnsiTheme="majorHAnsi" w:cstheme="majorHAnsi"/>
          <w:b/>
          <w:bCs/>
        </w:rPr>
        <w:t>16</w:t>
      </w:r>
      <w:r w:rsidR="00ED4632" w:rsidRPr="00ED4632">
        <w:rPr>
          <w:rFonts w:asciiTheme="majorHAnsi" w:hAnsiTheme="majorHAnsi" w:cstheme="majorHAnsi"/>
          <w:b/>
          <w:bCs/>
          <w:vertAlign w:val="superscript"/>
        </w:rPr>
        <w:t>th</w:t>
      </w:r>
      <w:r w:rsidR="00ED4632" w:rsidRPr="00ED4632">
        <w:rPr>
          <w:rFonts w:asciiTheme="majorHAnsi" w:hAnsiTheme="majorHAnsi" w:cstheme="majorHAnsi"/>
          <w:b/>
          <w:bCs/>
        </w:rPr>
        <w:t>/17</w:t>
      </w:r>
      <w:r w:rsidR="00ED4632" w:rsidRPr="00ED4632">
        <w:rPr>
          <w:rFonts w:asciiTheme="majorHAnsi" w:hAnsiTheme="majorHAnsi" w:cstheme="majorHAnsi"/>
          <w:b/>
          <w:bCs/>
          <w:vertAlign w:val="superscript"/>
        </w:rPr>
        <w:t>th</w:t>
      </w:r>
      <w:r w:rsidR="00ED4632" w:rsidRPr="00ED4632">
        <w:rPr>
          <w:rFonts w:asciiTheme="majorHAnsi" w:hAnsiTheme="majorHAnsi" w:cstheme="majorHAnsi"/>
          <w:b/>
          <w:bCs/>
        </w:rPr>
        <w:t xml:space="preserve"> September 2025</w:t>
      </w:r>
      <w:r w:rsidR="00ED4632">
        <w:rPr>
          <w:rFonts w:asciiTheme="majorHAnsi" w:hAnsiTheme="majorHAnsi" w:cstheme="majorHAnsi"/>
        </w:rPr>
        <w:t>.</w:t>
      </w:r>
    </w:p>
    <w:p w14:paraId="3EB233A4" w14:textId="7F47EE36" w:rsidR="00BC0503" w:rsidRPr="003E45EA" w:rsidRDefault="00BC0503" w:rsidP="009E7EF6">
      <w:pPr>
        <w:spacing w:before="120" w:after="120" w:line="240" w:lineRule="auto"/>
        <w:rPr>
          <w:rFonts w:asciiTheme="majorHAnsi" w:hAnsiTheme="majorHAnsi" w:cstheme="majorHAnsi"/>
        </w:rPr>
      </w:pPr>
      <w:r w:rsidRPr="003E45EA">
        <w:rPr>
          <w:rFonts w:asciiTheme="majorHAnsi" w:hAnsiTheme="majorHAnsi" w:cstheme="majorHAnsi"/>
        </w:rPr>
        <w:t xml:space="preserve">The underlying </w:t>
      </w:r>
      <w:r w:rsidR="004A3955" w:rsidRPr="003E45EA">
        <w:rPr>
          <w:rFonts w:asciiTheme="majorHAnsi" w:hAnsiTheme="majorHAnsi" w:cstheme="majorHAnsi"/>
        </w:rPr>
        <w:t xml:space="preserve">short-term </w:t>
      </w:r>
      <w:r w:rsidRPr="003E45EA">
        <w:rPr>
          <w:rFonts w:asciiTheme="majorHAnsi" w:hAnsiTheme="majorHAnsi" w:cstheme="majorHAnsi"/>
        </w:rPr>
        <w:t xml:space="preserve">theme is </w:t>
      </w:r>
      <w:r w:rsidR="00ED4632" w:rsidRPr="00ED4632">
        <w:rPr>
          <w:rFonts w:asciiTheme="majorHAnsi" w:hAnsiTheme="majorHAnsi" w:cstheme="majorHAnsi"/>
          <w:b/>
          <w:bCs/>
        </w:rPr>
        <w:t>“risk-on”</w:t>
      </w:r>
      <w:r w:rsidR="00FD39EE" w:rsidRPr="00ED4632">
        <w:rPr>
          <w:rFonts w:asciiTheme="majorHAnsi" w:hAnsiTheme="majorHAnsi" w:cstheme="majorHAnsi"/>
          <w:b/>
          <w:bCs/>
        </w:rPr>
        <w:t xml:space="preserve"> </w:t>
      </w:r>
      <w:r w:rsidRPr="003E45EA">
        <w:rPr>
          <w:rFonts w:asciiTheme="majorHAnsi" w:hAnsiTheme="majorHAnsi" w:cstheme="majorHAnsi"/>
        </w:rPr>
        <w:t>for shares</w:t>
      </w:r>
      <w:r w:rsidR="002344AE" w:rsidRPr="003E45EA">
        <w:rPr>
          <w:rFonts w:asciiTheme="majorHAnsi" w:hAnsiTheme="majorHAnsi" w:cstheme="majorHAnsi"/>
        </w:rPr>
        <w:t xml:space="preserve">. </w:t>
      </w:r>
    </w:p>
    <w:p w14:paraId="7204A7A0" w14:textId="61D0A390" w:rsidR="00CB2DF1" w:rsidRPr="003E45EA" w:rsidRDefault="00CB2DF1" w:rsidP="00CB2DF1">
      <w:pPr>
        <w:spacing w:before="120" w:after="120" w:line="240" w:lineRule="auto"/>
        <w:jc w:val="center"/>
        <w:rPr>
          <w:rFonts w:asciiTheme="majorHAnsi" w:hAnsiTheme="majorHAnsi" w:cstheme="majorHAnsi"/>
        </w:rPr>
      </w:pPr>
    </w:p>
    <w:p w14:paraId="3E617E0D" w14:textId="6F45FAEB" w:rsidR="009718C7" w:rsidRPr="003E45EA" w:rsidRDefault="00F3465F" w:rsidP="009E7EF6">
      <w:pPr>
        <w:spacing w:before="120" w:after="120" w:line="240" w:lineRule="auto"/>
        <w:rPr>
          <w:rFonts w:asciiTheme="majorHAnsi" w:hAnsiTheme="majorHAnsi" w:cstheme="majorHAnsi"/>
        </w:rPr>
      </w:pPr>
      <w:r w:rsidRPr="003E45EA">
        <w:rPr>
          <w:rFonts w:asciiTheme="majorHAnsi" w:hAnsiTheme="majorHAnsi" w:cstheme="majorHAnsi"/>
        </w:rPr>
        <w:lastRenderedPageBreak/>
        <w:t>T</w:t>
      </w:r>
      <w:r w:rsidR="00BC034A" w:rsidRPr="003E45EA">
        <w:rPr>
          <w:rFonts w:asciiTheme="majorHAnsi" w:hAnsiTheme="majorHAnsi" w:cstheme="majorHAnsi"/>
        </w:rPr>
        <w:t>he</w:t>
      </w:r>
      <w:r w:rsidR="00D76073" w:rsidRPr="003E45EA">
        <w:rPr>
          <w:rFonts w:asciiTheme="majorHAnsi" w:hAnsiTheme="majorHAnsi" w:cstheme="majorHAnsi"/>
        </w:rPr>
        <w:t xml:space="preserve"> situation in</w:t>
      </w:r>
      <w:r w:rsidRPr="003E45EA">
        <w:rPr>
          <w:rFonts w:asciiTheme="majorHAnsi" w:hAnsiTheme="majorHAnsi" w:cstheme="majorHAnsi"/>
        </w:rPr>
        <w:t xml:space="preserve"> Russia/Ukraine </w:t>
      </w:r>
      <w:r w:rsidR="00BC034A" w:rsidRPr="003E45EA">
        <w:rPr>
          <w:rFonts w:asciiTheme="majorHAnsi" w:hAnsiTheme="majorHAnsi" w:cstheme="majorHAnsi"/>
        </w:rPr>
        <w:t>conflict</w:t>
      </w:r>
      <w:r w:rsidR="00D76073" w:rsidRPr="003E45EA">
        <w:rPr>
          <w:rFonts w:asciiTheme="majorHAnsi" w:hAnsiTheme="majorHAnsi" w:cstheme="majorHAnsi"/>
        </w:rPr>
        <w:t xml:space="preserve"> remains unchanged </w:t>
      </w:r>
      <w:r w:rsidR="00403EC7" w:rsidRPr="003E45EA">
        <w:rPr>
          <w:rFonts w:asciiTheme="majorHAnsi" w:hAnsiTheme="majorHAnsi" w:cstheme="majorHAnsi"/>
        </w:rPr>
        <w:t xml:space="preserve">however </w:t>
      </w:r>
      <w:r w:rsidR="00802E86" w:rsidRPr="003E45EA">
        <w:rPr>
          <w:rFonts w:asciiTheme="majorHAnsi" w:hAnsiTheme="majorHAnsi" w:cstheme="majorHAnsi"/>
        </w:rPr>
        <w:t>the latest conflict between Israel</w:t>
      </w:r>
      <w:r w:rsidR="00131EB9" w:rsidRPr="003E45EA">
        <w:rPr>
          <w:rFonts w:asciiTheme="majorHAnsi" w:hAnsiTheme="majorHAnsi" w:cstheme="majorHAnsi"/>
        </w:rPr>
        <w:t>,</w:t>
      </w:r>
      <w:r w:rsidR="00802E86" w:rsidRPr="003E45EA">
        <w:rPr>
          <w:rFonts w:asciiTheme="majorHAnsi" w:hAnsiTheme="majorHAnsi" w:cstheme="majorHAnsi"/>
        </w:rPr>
        <w:t xml:space="preserve"> </w:t>
      </w:r>
      <w:r w:rsidR="00131EB9" w:rsidRPr="003E45EA">
        <w:rPr>
          <w:rFonts w:asciiTheme="majorHAnsi" w:hAnsiTheme="majorHAnsi" w:cstheme="majorHAnsi"/>
        </w:rPr>
        <w:t>Gaza (</w:t>
      </w:r>
      <w:r w:rsidR="00802E86" w:rsidRPr="003E45EA">
        <w:rPr>
          <w:rFonts w:asciiTheme="majorHAnsi" w:hAnsiTheme="majorHAnsi" w:cstheme="majorHAnsi"/>
        </w:rPr>
        <w:t>H</w:t>
      </w:r>
      <w:r w:rsidR="008F5026" w:rsidRPr="003E45EA">
        <w:rPr>
          <w:rFonts w:asciiTheme="majorHAnsi" w:hAnsiTheme="majorHAnsi" w:cstheme="majorHAnsi"/>
        </w:rPr>
        <w:t>a</w:t>
      </w:r>
      <w:r w:rsidR="00802E86" w:rsidRPr="003E45EA">
        <w:rPr>
          <w:rFonts w:asciiTheme="majorHAnsi" w:hAnsiTheme="majorHAnsi" w:cstheme="majorHAnsi"/>
        </w:rPr>
        <w:t>mas</w:t>
      </w:r>
      <w:r w:rsidR="00131EB9" w:rsidRPr="003E45EA">
        <w:rPr>
          <w:rFonts w:asciiTheme="majorHAnsi" w:hAnsiTheme="majorHAnsi" w:cstheme="majorHAnsi"/>
        </w:rPr>
        <w:t>) and now Lebanon</w:t>
      </w:r>
      <w:r w:rsidR="00802E86" w:rsidRPr="003E45EA">
        <w:rPr>
          <w:rFonts w:asciiTheme="majorHAnsi" w:hAnsiTheme="majorHAnsi" w:cstheme="majorHAnsi"/>
        </w:rPr>
        <w:t xml:space="preserve"> </w:t>
      </w:r>
      <w:r w:rsidR="008C6C61" w:rsidRPr="003E45EA">
        <w:rPr>
          <w:rFonts w:asciiTheme="majorHAnsi" w:hAnsiTheme="majorHAnsi" w:cstheme="majorHAnsi"/>
        </w:rPr>
        <w:t xml:space="preserve">and Iran </w:t>
      </w:r>
      <w:r w:rsidR="002D5B6B" w:rsidRPr="003E45EA">
        <w:rPr>
          <w:rFonts w:asciiTheme="majorHAnsi" w:hAnsiTheme="majorHAnsi" w:cstheme="majorHAnsi"/>
        </w:rPr>
        <w:t>are</w:t>
      </w:r>
      <w:r w:rsidR="009718C7" w:rsidRPr="003E45EA">
        <w:rPr>
          <w:rFonts w:asciiTheme="majorHAnsi" w:hAnsiTheme="majorHAnsi" w:cstheme="majorHAnsi"/>
        </w:rPr>
        <w:t xml:space="preserve"> showing </w:t>
      </w:r>
      <w:r w:rsidR="00435C10" w:rsidRPr="003E45EA">
        <w:rPr>
          <w:rFonts w:asciiTheme="majorHAnsi" w:hAnsiTheme="majorHAnsi" w:cstheme="majorHAnsi"/>
        </w:rPr>
        <w:t xml:space="preserve">no </w:t>
      </w:r>
      <w:r w:rsidR="009718C7" w:rsidRPr="003E45EA">
        <w:rPr>
          <w:rFonts w:asciiTheme="majorHAnsi" w:hAnsiTheme="majorHAnsi" w:cstheme="majorHAnsi"/>
        </w:rPr>
        <w:t xml:space="preserve">signs of abating </w:t>
      </w:r>
      <w:r w:rsidR="00435C10" w:rsidRPr="003E45EA">
        <w:rPr>
          <w:rFonts w:asciiTheme="majorHAnsi" w:hAnsiTheme="majorHAnsi" w:cstheme="majorHAnsi"/>
        </w:rPr>
        <w:t>despite attempted peace talks</w:t>
      </w:r>
      <w:r w:rsidR="009718C7" w:rsidRPr="003E45EA">
        <w:rPr>
          <w:rFonts w:asciiTheme="majorHAnsi" w:hAnsiTheme="majorHAnsi" w:cstheme="majorHAnsi"/>
        </w:rPr>
        <w:t>.</w:t>
      </w:r>
    </w:p>
    <w:p w14:paraId="4D1ADF38" w14:textId="208AA7C5" w:rsidR="00BD000B" w:rsidRPr="003E45EA" w:rsidRDefault="00403EC7" w:rsidP="009E7EF6">
      <w:pPr>
        <w:spacing w:before="120" w:after="120" w:line="240" w:lineRule="auto"/>
        <w:rPr>
          <w:rFonts w:asciiTheme="majorHAnsi" w:hAnsiTheme="majorHAnsi" w:cstheme="majorHAnsi"/>
        </w:rPr>
      </w:pPr>
      <w:r w:rsidRPr="003E45EA">
        <w:rPr>
          <w:rFonts w:asciiTheme="majorHAnsi" w:hAnsiTheme="majorHAnsi" w:cstheme="majorHAnsi"/>
        </w:rPr>
        <w:t>U</w:t>
      </w:r>
      <w:r w:rsidR="00B700A9" w:rsidRPr="003E45EA">
        <w:rPr>
          <w:rFonts w:asciiTheme="majorHAnsi" w:hAnsiTheme="majorHAnsi" w:cstheme="majorHAnsi"/>
        </w:rPr>
        <w:t>nfortunately,</w:t>
      </w:r>
      <w:r w:rsidR="00F24335" w:rsidRPr="003E45EA">
        <w:rPr>
          <w:rFonts w:asciiTheme="majorHAnsi" w:hAnsiTheme="majorHAnsi" w:cstheme="majorHAnsi"/>
        </w:rPr>
        <w:t xml:space="preserve"> a resolution </w:t>
      </w:r>
      <w:r w:rsidR="0025751D" w:rsidRPr="003E45EA">
        <w:rPr>
          <w:rFonts w:asciiTheme="majorHAnsi" w:hAnsiTheme="majorHAnsi" w:cstheme="majorHAnsi"/>
        </w:rPr>
        <w:t xml:space="preserve">to the </w:t>
      </w:r>
      <w:r w:rsidR="005200E9" w:rsidRPr="003E45EA">
        <w:rPr>
          <w:rFonts w:asciiTheme="majorHAnsi" w:hAnsiTheme="majorHAnsi" w:cstheme="majorHAnsi"/>
        </w:rPr>
        <w:t xml:space="preserve">regional conflict </w:t>
      </w:r>
      <w:r w:rsidR="009718C7" w:rsidRPr="003E45EA">
        <w:rPr>
          <w:rFonts w:asciiTheme="majorHAnsi" w:hAnsiTheme="majorHAnsi" w:cstheme="majorHAnsi"/>
        </w:rPr>
        <w:t>may be a</w:t>
      </w:r>
      <w:r w:rsidR="00F24335" w:rsidRPr="003E45EA">
        <w:rPr>
          <w:rFonts w:asciiTheme="majorHAnsi" w:hAnsiTheme="majorHAnsi" w:cstheme="majorHAnsi"/>
        </w:rPr>
        <w:t xml:space="preserve"> way off </w:t>
      </w:r>
      <w:r w:rsidR="009718C7" w:rsidRPr="003E45EA">
        <w:rPr>
          <w:rFonts w:asciiTheme="majorHAnsi" w:hAnsiTheme="majorHAnsi" w:cstheme="majorHAnsi"/>
        </w:rPr>
        <w:t>however</w:t>
      </w:r>
      <w:r w:rsidR="00D7423A" w:rsidRPr="003E45EA">
        <w:rPr>
          <w:rFonts w:asciiTheme="majorHAnsi" w:hAnsiTheme="majorHAnsi" w:cstheme="majorHAnsi"/>
        </w:rPr>
        <w:t xml:space="preserve">, the underlying economies </w:t>
      </w:r>
      <w:r w:rsidR="005200E9" w:rsidRPr="003E45EA">
        <w:rPr>
          <w:rFonts w:asciiTheme="majorHAnsi" w:hAnsiTheme="majorHAnsi" w:cstheme="majorHAnsi"/>
        </w:rPr>
        <w:t xml:space="preserve">elsewhere </w:t>
      </w:r>
      <w:r w:rsidR="00D7423A" w:rsidRPr="003E45EA">
        <w:rPr>
          <w:rFonts w:asciiTheme="majorHAnsi" w:hAnsiTheme="majorHAnsi" w:cstheme="majorHAnsi"/>
        </w:rPr>
        <w:t xml:space="preserve">are emerging </w:t>
      </w:r>
      <w:r w:rsidR="005200E9" w:rsidRPr="003E45EA">
        <w:rPr>
          <w:rFonts w:asciiTheme="majorHAnsi" w:hAnsiTheme="majorHAnsi" w:cstheme="majorHAnsi"/>
        </w:rPr>
        <w:t xml:space="preserve">with a growth orientated momentum </w:t>
      </w:r>
      <w:r w:rsidR="00D7423A" w:rsidRPr="003E45EA">
        <w:rPr>
          <w:rFonts w:asciiTheme="majorHAnsi" w:hAnsiTheme="majorHAnsi" w:cstheme="majorHAnsi"/>
        </w:rPr>
        <w:t xml:space="preserve">after such </w:t>
      </w:r>
      <w:r w:rsidR="00216D19" w:rsidRPr="003E45EA">
        <w:rPr>
          <w:rFonts w:asciiTheme="majorHAnsi" w:hAnsiTheme="majorHAnsi" w:cstheme="majorHAnsi"/>
        </w:rPr>
        <w:t>an extended period</w:t>
      </w:r>
      <w:r w:rsidR="00D7423A" w:rsidRPr="003E45EA">
        <w:rPr>
          <w:rFonts w:asciiTheme="majorHAnsi" w:hAnsiTheme="majorHAnsi" w:cstheme="majorHAnsi"/>
        </w:rPr>
        <w:t xml:space="preserve"> of uncertainty.</w:t>
      </w:r>
    </w:p>
    <w:p w14:paraId="246E64DC" w14:textId="5326D7BA" w:rsidR="00BC1541" w:rsidRPr="003E45EA" w:rsidRDefault="00BC1541" w:rsidP="009E7EF6">
      <w:pPr>
        <w:tabs>
          <w:tab w:val="left" w:pos="5520"/>
        </w:tabs>
        <w:spacing w:before="120" w:after="120" w:line="240" w:lineRule="auto"/>
        <w:rPr>
          <w:rFonts w:asciiTheme="majorHAnsi" w:hAnsiTheme="majorHAnsi" w:cstheme="majorHAnsi"/>
          <w:b/>
          <w:bCs/>
        </w:rPr>
      </w:pPr>
      <w:r w:rsidRPr="003E45EA">
        <w:rPr>
          <w:rFonts w:asciiTheme="majorHAnsi" w:hAnsiTheme="majorHAnsi" w:cstheme="majorHAnsi"/>
          <w:b/>
          <w:bCs/>
        </w:rPr>
        <w:t>Investor Focus</w:t>
      </w:r>
    </w:p>
    <w:p w14:paraId="4E857430" w14:textId="1E881FF5" w:rsidR="00E210AE" w:rsidRPr="003E45EA" w:rsidRDefault="00257621" w:rsidP="00E210AE">
      <w:pPr>
        <w:tabs>
          <w:tab w:val="left" w:pos="5520"/>
        </w:tabs>
        <w:spacing w:before="120" w:after="120" w:line="240" w:lineRule="auto"/>
        <w:rPr>
          <w:rFonts w:asciiTheme="majorHAnsi" w:hAnsiTheme="majorHAnsi" w:cstheme="majorHAnsi"/>
        </w:rPr>
      </w:pPr>
      <w:r w:rsidRPr="003E45EA">
        <w:rPr>
          <w:rFonts w:asciiTheme="majorHAnsi" w:hAnsiTheme="majorHAnsi" w:cstheme="majorHAnsi"/>
          <w:b/>
          <w:bCs/>
        </w:rPr>
        <w:t>For Australia</w:t>
      </w:r>
      <w:r w:rsidRPr="003E45EA">
        <w:rPr>
          <w:rFonts w:asciiTheme="majorHAnsi" w:hAnsiTheme="majorHAnsi" w:cstheme="majorHAnsi"/>
        </w:rPr>
        <w:t>, i</w:t>
      </w:r>
      <w:r w:rsidR="00CF1D42" w:rsidRPr="003E45EA">
        <w:rPr>
          <w:rFonts w:asciiTheme="majorHAnsi" w:hAnsiTheme="majorHAnsi" w:cstheme="majorHAnsi"/>
        </w:rPr>
        <w:t>nvestors</w:t>
      </w:r>
      <w:r w:rsidR="009E7EF6" w:rsidRPr="003E45EA">
        <w:rPr>
          <w:rFonts w:asciiTheme="majorHAnsi" w:hAnsiTheme="majorHAnsi" w:cstheme="majorHAnsi"/>
        </w:rPr>
        <w:t xml:space="preserve"> focus</w:t>
      </w:r>
      <w:r w:rsidRPr="003E45EA">
        <w:rPr>
          <w:rFonts w:asciiTheme="majorHAnsi" w:hAnsiTheme="majorHAnsi" w:cstheme="majorHAnsi"/>
        </w:rPr>
        <w:t>sed o</w:t>
      </w:r>
      <w:r w:rsidR="00E52572" w:rsidRPr="003E45EA">
        <w:rPr>
          <w:rFonts w:asciiTheme="majorHAnsi" w:hAnsiTheme="majorHAnsi" w:cstheme="majorHAnsi"/>
        </w:rPr>
        <w:t>n</w:t>
      </w:r>
      <w:r w:rsidR="00BC1541" w:rsidRPr="003E45EA">
        <w:rPr>
          <w:rFonts w:asciiTheme="majorHAnsi" w:hAnsiTheme="majorHAnsi" w:cstheme="majorHAnsi"/>
        </w:rPr>
        <w:t xml:space="preserve"> </w:t>
      </w:r>
      <w:r w:rsidR="00E52572" w:rsidRPr="003E45EA">
        <w:rPr>
          <w:rFonts w:asciiTheme="majorHAnsi" w:hAnsiTheme="majorHAnsi" w:cstheme="majorHAnsi"/>
        </w:rPr>
        <w:t>the following</w:t>
      </w:r>
      <w:r w:rsidR="00790F5A" w:rsidRPr="003E45EA">
        <w:rPr>
          <w:rFonts w:asciiTheme="majorHAnsi" w:hAnsiTheme="majorHAnsi" w:cstheme="majorHAnsi"/>
        </w:rPr>
        <w:t xml:space="preserve"> issues:</w:t>
      </w:r>
    </w:p>
    <w:p w14:paraId="1159AA1C" w14:textId="50416409" w:rsidR="005200E9" w:rsidRPr="003E45EA" w:rsidRDefault="00C52E4A" w:rsidP="003C40F3">
      <w:pPr>
        <w:pStyle w:val="ListParagraph"/>
        <w:numPr>
          <w:ilvl w:val="0"/>
          <w:numId w:val="6"/>
        </w:numPr>
        <w:spacing w:before="0" w:after="0" w:line="276" w:lineRule="auto"/>
        <w:ind w:left="357" w:hanging="357"/>
        <w:rPr>
          <w:rFonts w:asciiTheme="majorHAnsi" w:hAnsiTheme="majorHAnsi" w:cstheme="majorHAnsi"/>
          <w:szCs w:val="22"/>
        </w:rPr>
      </w:pPr>
      <w:r w:rsidRPr="003E45EA">
        <w:rPr>
          <w:rFonts w:asciiTheme="majorHAnsi" w:hAnsiTheme="majorHAnsi" w:cstheme="majorHAnsi"/>
          <w:b/>
          <w:bCs/>
          <w:szCs w:val="22"/>
        </w:rPr>
        <w:t>Cost of living expenses</w:t>
      </w:r>
      <w:r w:rsidRPr="003E45EA">
        <w:rPr>
          <w:rFonts w:asciiTheme="majorHAnsi" w:hAnsiTheme="majorHAnsi" w:cstheme="majorHAnsi"/>
          <w:szCs w:val="22"/>
        </w:rPr>
        <w:t xml:space="preserve"> and the impact on </w:t>
      </w:r>
      <w:r w:rsidRPr="003E45EA">
        <w:rPr>
          <w:rFonts w:asciiTheme="majorHAnsi" w:hAnsiTheme="majorHAnsi" w:cstheme="majorHAnsi"/>
          <w:b/>
          <w:bCs/>
          <w:szCs w:val="22"/>
        </w:rPr>
        <w:t>consumer spending</w:t>
      </w:r>
      <w:r w:rsidR="00617146" w:rsidRPr="003E45EA">
        <w:rPr>
          <w:rFonts w:asciiTheme="majorHAnsi" w:hAnsiTheme="majorHAnsi" w:cstheme="majorHAnsi"/>
          <w:szCs w:val="22"/>
        </w:rPr>
        <w:t>.</w:t>
      </w:r>
    </w:p>
    <w:p w14:paraId="71F71B01" w14:textId="6F621A9F" w:rsidR="00C52E4A" w:rsidRPr="003E45EA" w:rsidRDefault="00131EB9" w:rsidP="003C40F3">
      <w:pPr>
        <w:pStyle w:val="ListParagraph"/>
        <w:numPr>
          <w:ilvl w:val="0"/>
          <w:numId w:val="6"/>
        </w:numPr>
        <w:spacing w:before="0" w:after="0" w:line="276" w:lineRule="auto"/>
        <w:ind w:left="357" w:hanging="357"/>
        <w:rPr>
          <w:rFonts w:asciiTheme="majorHAnsi" w:hAnsiTheme="majorHAnsi" w:cstheme="majorHAnsi"/>
          <w:szCs w:val="22"/>
        </w:rPr>
      </w:pPr>
      <w:r w:rsidRPr="003E45EA">
        <w:rPr>
          <w:rFonts w:asciiTheme="majorHAnsi" w:hAnsiTheme="majorHAnsi" w:cstheme="majorHAnsi"/>
          <w:b/>
          <w:bCs/>
          <w:szCs w:val="22"/>
        </w:rPr>
        <w:t>C</w:t>
      </w:r>
      <w:r w:rsidR="00382D5C" w:rsidRPr="003E45EA">
        <w:rPr>
          <w:rFonts w:asciiTheme="majorHAnsi" w:hAnsiTheme="majorHAnsi" w:cstheme="majorHAnsi"/>
          <w:b/>
          <w:bCs/>
          <w:szCs w:val="22"/>
        </w:rPr>
        <w:t xml:space="preserve">ommodity prices </w:t>
      </w:r>
      <w:r w:rsidRPr="003E45EA">
        <w:rPr>
          <w:rFonts w:asciiTheme="majorHAnsi" w:hAnsiTheme="majorHAnsi" w:cstheme="majorHAnsi"/>
          <w:szCs w:val="22"/>
        </w:rPr>
        <w:t xml:space="preserve">(post China policy changes) </w:t>
      </w:r>
      <w:r w:rsidR="00382D5C" w:rsidRPr="003E45EA">
        <w:rPr>
          <w:rFonts w:asciiTheme="majorHAnsi" w:hAnsiTheme="majorHAnsi" w:cstheme="majorHAnsi"/>
          <w:b/>
          <w:bCs/>
          <w:szCs w:val="22"/>
        </w:rPr>
        <w:t>and the impact on company profits</w:t>
      </w:r>
      <w:r w:rsidR="007077FC" w:rsidRPr="003E45EA">
        <w:rPr>
          <w:rFonts w:asciiTheme="majorHAnsi" w:hAnsiTheme="majorHAnsi" w:cstheme="majorHAnsi"/>
          <w:b/>
          <w:bCs/>
          <w:szCs w:val="22"/>
        </w:rPr>
        <w:t>.</w:t>
      </w:r>
    </w:p>
    <w:p w14:paraId="78654FD1" w14:textId="6921C8DC" w:rsidR="00C52E4A" w:rsidRPr="003E45EA" w:rsidRDefault="00C52E4A" w:rsidP="003C40F3">
      <w:pPr>
        <w:pStyle w:val="ListParagraph"/>
        <w:numPr>
          <w:ilvl w:val="0"/>
          <w:numId w:val="6"/>
        </w:numPr>
        <w:spacing w:before="0" w:after="0" w:line="276" w:lineRule="auto"/>
        <w:ind w:left="357" w:hanging="357"/>
        <w:rPr>
          <w:rFonts w:asciiTheme="majorHAnsi" w:hAnsiTheme="majorHAnsi" w:cstheme="majorHAnsi"/>
          <w:szCs w:val="22"/>
        </w:rPr>
      </w:pPr>
      <w:r w:rsidRPr="003E45EA">
        <w:rPr>
          <w:rFonts w:asciiTheme="majorHAnsi" w:hAnsiTheme="majorHAnsi" w:cstheme="majorHAnsi"/>
          <w:szCs w:val="22"/>
        </w:rPr>
        <w:t xml:space="preserve">The level of </w:t>
      </w:r>
      <w:r w:rsidRPr="003E45EA">
        <w:rPr>
          <w:rFonts w:asciiTheme="majorHAnsi" w:hAnsiTheme="majorHAnsi" w:cstheme="majorHAnsi"/>
          <w:b/>
          <w:bCs/>
          <w:szCs w:val="22"/>
        </w:rPr>
        <w:t>interest rates</w:t>
      </w:r>
      <w:r w:rsidRPr="003E45EA">
        <w:rPr>
          <w:rFonts w:asciiTheme="majorHAnsi" w:hAnsiTheme="majorHAnsi" w:cstheme="majorHAnsi"/>
          <w:szCs w:val="22"/>
        </w:rPr>
        <w:t xml:space="preserve"> and the delicate position of the RBA given </w:t>
      </w:r>
      <w:r w:rsidR="001B3379" w:rsidRPr="003E45EA">
        <w:rPr>
          <w:rFonts w:asciiTheme="majorHAnsi" w:hAnsiTheme="majorHAnsi" w:cstheme="majorHAnsi"/>
          <w:szCs w:val="22"/>
        </w:rPr>
        <w:t xml:space="preserve">the </w:t>
      </w:r>
      <w:r w:rsidR="00B562DB" w:rsidRPr="003E45EA">
        <w:rPr>
          <w:rFonts w:asciiTheme="majorHAnsi" w:hAnsiTheme="majorHAnsi" w:cstheme="majorHAnsi"/>
          <w:szCs w:val="22"/>
        </w:rPr>
        <w:t>global volatility in markets</w:t>
      </w:r>
      <w:r w:rsidRPr="003E45EA">
        <w:rPr>
          <w:rFonts w:asciiTheme="majorHAnsi" w:hAnsiTheme="majorHAnsi" w:cstheme="majorHAnsi"/>
          <w:szCs w:val="22"/>
        </w:rPr>
        <w:t>.</w:t>
      </w:r>
    </w:p>
    <w:p w14:paraId="5B79F6A2" w14:textId="765E5CD4" w:rsidR="007077FC" w:rsidRPr="003E45EA" w:rsidRDefault="007077FC" w:rsidP="003C40F3">
      <w:pPr>
        <w:pStyle w:val="ListParagraph"/>
        <w:numPr>
          <w:ilvl w:val="0"/>
          <w:numId w:val="6"/>
        </w:numPr>
        <w:spacing w:before="0" w:after="0" w:line="276" w:lineRule="auto"/>
        <w:ind w:left="357" w:hanging="357"/>
        <w:rPr>
          <w:rFonts w:asciiTheme="majorHAnsi" w:hAnsiTheme="majorHAnsi" w:cstheme="majorHAnsi"/>
          <w:szCs w:val="22"/>
        </w:rPr>
      </w:pPr>
      <w:r w:rsidRPr="003E45EA">
        <w:rPr>
          <w:rFonts w:asciiTheme="majorHAnsi" w:hAnsiTheme="majorHAnsi" w:cstheme="majorHAnsi"/>
          <w:b/>
          <w:bCs/>
          <w:szCs w:val="22"/>
        </w:rPr>
        <w:t>US tariffs</w:t>
      </w:r>
      <w:r w:rsidRPr="003E45EA">
        <w:rPr>
          <w:rFonts w:asciiTheme="majorHAnsi" w:hAnsiTheme="majorHAnsi" w:cstheme="majorHAnsi"/>
          <w:szCs w:val="22"/>
        </w:rPr>
        <w:t xml:space="preserve"> and the impact on Australia’s exports</w:t>
      </w:r>
      <w:r w:rsidR="00B562DB" w:rsidRPr="003E45EA">
        <w:rPr>
          <w:rFonts w:asciiTheme="majorHAnsi" w:hAnsiTheme="majorHAnsi" w:cstheme="majorHAnsi"/>
          <w:szCs w:val="22"/>
        </w:rPr>
        <w:t>.</w:t>
      </w:r>
    </w:p>
    <w:p w14:paraId="72D4FB61" w14:textId="780B40ED" w:rsidR="00C52E4A" w:rsidRPr="003E45EA" w:rsidRDefault="00C52E4A" w:rsidP="003C40F3">
      <w:pPr>
        <w:pStyle w:val="ListParagraph"/>
        <w:numPr>
          <w:ilvl w:val="0"/>
          <w:numId w:val="6"/>
        </w:numPr>
        <w:spacing w:before="0" w:after="0" w:line="276" w:lineRule="auto"/>
        <w:ind w:left="357" w:hanging="357"/>
        <w:rPr>
          <w:rFonts w:asciiTheme="majorHAnsi" w:hAnsiTheme="majorHAnsi" w:cstheme="majorHAnsi"/>
          <w:szCs w:val="22"/>
        </w:rPr>
      </w:pPr>
      <w:r w:rsidRPr="003E45EA">
        <w:rPr>
          <w:rFonts w:asciiTheme="majorHAnsi" w:hAnsiTheme="majorHAnsi" w:cstheme="majorHAnsi"/>
          <w:b/>
          <w:bCs/>
          <w:szCs w:val="22"/>
        </w:rPr>
        <w:t>Inflation</w:t>
      </w:r>
      <w:r w:rsidRPr="003E45EA">
        <w:rPr>
          <w:rFonts w:asciiTheme="majorHAnsi" w:hAnsiTheme="majorHAnsi" w:cstheme="majorHAnsi"/>
          <w:szCs w:val="22"/>
        </w:rPr>
        <w:t xml:space="preserve"> </w:t>
      </w:r>
      <w:r w:rsidR="00382D5C" w:rsidRPr="003E45EA">
        <w:rPr>
          <w:rFonts w:asciiTheme="majorHAnsi" w:hAnsiTheme="majorHAnsi" w:cstheme="majorHAnsi"/>
          <w:szCs w:val="22"/>
        </w:rPr>
        <w:t xml:space="preserve">(Y-O-Y) </w:t>
      </w:r>
      <w:r w:rsidR="009D7873" w:rsidRPr="003E45EA">
        <w:rPr>
          <w:rFonts w:asciiTheme="majorHAnsi" w:hAnsiTheme="majorHAnsi" w:cstheme="majorHAnsi"/>
          <w:szCs w:val="22"/>
        </w:rPr>
        <w:t xml:space="preserve">was steady </w:t>
      </w:r>
      <w:r w:rsidR="00382D5C" w:rsidRPr="003E45EA">
        <w:rPr>
          <w:rFonts w:asciiTheme="majorHAnsi" w:hAnsiTheme="majorHAnsi" w:cstheme="majorHAnsi"/>
          <w:szCs w:val="22"/>
        </w:rPr>
        <w:t xml:space="preserve">at </w:t>
      </w:r>
      <w:r w:rsidR="00CB2DF1" w:rsidRPr="003E45EA">
        <w:rPr>
          <w:rFonts w:asciiTheme="majorHAnsi" w:hAnsiTheme="majorHAnsi" w:cstheme="majorHAnsi"/>
          <w:b/>
          <w:bCs/>
          <w:szCs w:val="22"/>
        </w:rPr>
        <w:t>2.</w:t>
      </w:r>
      <w:r w:rsidR="001A23BB">
        <w:rPr>
          <w:rFonts w:asciiTheme="majorHAnsi" w:hAnsiTheme="majorHAnsi" w:cstheme="majorHAnsi"/>
          <w:b/>
          <w:bCs/>
          <w:szCs w:val="22"/>
        </w:rPr>
        <w:t>9</w:t>
      </w:r>
      <w:r w:rsidRPr="003E45EA">
        <w:rPr>
          <w:rFonts w:asciiTheme="majorHAnsi" w:hAnsiTheme="majorHAnsi" w:cstheme="majorHAnsi"/>
          <w:b/>
          <w:bCs/>
          <w:szCs w:val="22"/>
        </w:rPr>
        <w:t>%</w:t>
      </w:r>
      <w:r w:rsidRPr="003E45EA">
        <w:rPr>
          <w:rFonts w:asciiTheme="majorHAnsi" w:hAnsiTheme="majorHAnsi" w:cstheme="majorHAnsi"/>
          <w:szCs w:val="22"/>
        </w:rPr>
        <w:t xml:space="preserve"> </w:t>
      </w:r>
      <w:r w:rsidR="009D7873" w:rsidRPr="003E45EA">
        <w:rPr>
          <w:rFonts w:asciiTheme="majorHAnsi" w:hAnsiTheme="majorHAnsi" w:cstheme="majorHAnsi"/>
          <w:szCs w:val="22"/>
        </w:rPr>
        <w:t xml:space="preserve">unchanged </w:t>
      </w:r>
      <w:r w:rsidRPr="003E45EA">
        <w:rPr>
          <w:rFonts w:asciiTheme="majorHAnsi" w:hAnsiTheme="majorHAnsi" w:cstheme="majorHAnsi"/>
          <w:szCs w:val="22"/>
        </w:rPr>
        <w:t xml:space="preserve">in the </w:t>
      </w:r>
      <w:r w:rsidR="009D7873" w:rsidRPr="003E45EA">
        <w:rPr>
          <w:rFonts w:asciiTheme="majorHAnsi" w:hAnsiTheme="majorHAnsi" w:cstheme="majorHAnsi"/>
          <w:szCs w:val="22"/>
        </w:rPr>
        <w:t>first</w:t>
      </w:r>
      <w:r w:rsidRPr="003E45EA">
        <w:rPr>
          <w:rFonts w:asciiTheme="majorHAnsi" w:hAnsiTheme="majorHAnsi" w:cstheme="majorHAnsi"/>
          <w:szCs w:val="22"/>
        </w:rPr>
        <w:t xml:space="preserve"> quarter of 202</w:t>
      </w:r>
      <w:r w:rsidR="009D7873" w:rsidRPr="003E45EA">
        <w:rPr>
          <w:rFonts w:asciiTheme="majorHAnsi" w:hAnsiTheme="majorHAnsi" w:cstheme="majorHAnsi"/>
          <w:szCs w:val="22"/>
        </w:rPr>
        <w:t>5.</w:t>
      </w:r>
    </w:p>
    <w:p w14:paraId="5BA48DC4" w14:textId="3E3B3C2A" w:rsidR="00531BEC" w:rsidRPr="003E45EA" w:rsidRDefault="00531BEC" w:rsidP="003C40F3">
      <w:pPr>
        <w:pStyle w:val="ListParagraph"/>
        <w:numPr>
          <w:ilvl w:val="0"/>
          <w:numId w:val="6"/>
        </w:numPr>
        <w:spacing w:before="0" w:after="0" w:line="276" w:lineRule="auto"/>
        <w:ind w:left="357" w:hanging="357"/>
        <w:rPr>
          <w:rFonts w:asciiTheme="majorHAnsi" w:hAnsiTheme="majorHAnsi" w:cstheme="majorHAnsi"/>
          <w:szCs w:val="22"/>
        </w:rPr>
      </w:pPr>
      <w:r w:rsidRPr="003E45EA">
        <w:rPr>
          <w:rFonts w:asciiTheme="majorHAnsi" w:hAnsiTheme="majorHAnsi" w:cstheme="majorHAnsi"/>
          <w:b/>
          <w:bCs/>
          <w:szCs w:val="22"/>
        </w:rPr>
        <w:t xml:space="preserve">Government spending </w:t>
      </w:r>
      <w:r w:rsidRPr="003E45EA">
        <w:rPr>
          <w:rFonts w:asciiTheme="majorHAnsi" w:hAnsiTheme="majorHAnsi" w:cstheme="majorHAnsi"/>
          <w:szCs w:val="22"/>
        </w:rPr>
        <w:t>and the rising debt level.</w:t>
      </w:r>
    </w:p>
    <w:p w14:paraId="55B1C33B" w14:textId="547FF70D" w:rsidR="00515B71" w:rsidRPr="003E45EA" w:rsidRDefault="00220A49" w:rsidP="00515B71">
      <w:pPr>
        <w:pStyle w:val="ListParagraph"/>
        <w:numPr>
          <w:ilvl w:val="0"/>
          <w:numId w:val="6"/>
        </w:numPr>
        <w:spacing w:before="120" w:after="120" w:line="276" w:lineRule="auto"/>
        <w:ind w:left="357" w:hanging="357"/>
        <w:rPr>
          <w:rFonts w:asciiTheme="majorHAnsi" w:hAnsiTheme="majorHAnsi" w:cstheme="majorHAnsi"/>
          <w:szCs w:val="22"/>
        </w:rPr>
      </w:pPr>
      <w:r w:rsidRPr="003E45EA">
        <w:rPr>
          <w:rFonts w:asciiTheme="majorHAnsi" w:hAnsiTheme="majorHAnsi" w:cstheme="majorHAnsi"/>
          <w:b/>
          <w:bCs/>
          <w:szCs w:val="22"/>
        </w:rPr>
        <w:t>China growth prospects</w:t>
      </w:r>
      <w:r w:rsidRPr="003E45EA">
        <w:rPr>
          <w:rFonts w:asciiTheme="majorHAnsi" w:hAnsiTheme="majorHAnsi" w:cstheme="majorHAnsi"/>
          <w:szCs w:val="22"/>
        </w:rPr>
        <w:t xml:space="preserve"> –</w:t>
      </w:r>
      <w:r w:rsidR="00A87065" w:rsidRPr="003E45EA">
        <w:rPr>
          <w:rFonts w:asciiTheme="majorHAnsi" w:hAnsiTheme="majorHAnsi" w:cstheme="majorHAnsi"/>
          <w:szCs w:val="22"/>
        </w:rPr>
        <w:t xml:space="preserve"> </w:t>
      </w:r>
      <w:r w:rsidR="002770F6" w:rsidRPr="003E45EA">
        <w:rPr>
          <w:rFonts w:asciiTheme="majorHAnsi" w:hAnsiTheme="majorHAnsi" w:cstheme="majorHAnsi"/>
          <w:szCs w:val="22"/>
        </w:rPr>
        <w:t>T</w:t>
      </w:r>
      <w:r w:rsidR="00131EB9" w:rsidRPr="003E45EA">
        <w:rPr>
          <w:rFonts w:asciiTheme="majorHAnsi" w:hAnsiTheme="majorHAnsi" w:cstheme="majorHAnsi"/>
          <w:szCs w:val="22"/>
        </w:rPr>
        <w:t>he P</w:t>
      </w:r>
      <w:r w:rsidR="002770F6" w:rsidRPr="003E45EA">
        <w:rPr>
          <w:rFonts w:asciiTheme="majorHAnsi" w:hAnsiTheme="majorHAnsi" w:cstheme="majorHAnsi"/>
          <w:szCs w:val="22"/>
        </w:rPr>
        <w:t xml:space="preserve">eoples </w:t>
      </w:r>
      <w:r w:rsidR="00131EB9" w:rsidRPr="003E45EA">
        <w:rPr>
          <w:rFonts w:asciiTheme="majorHAnsi" w:hAnsiTheme="majorHAnsi" w:cstheme="majorHAnsi"/>
          <w:szCs w:val="22"/>
        </w:rPr>
        <w:t>B</w:t>
      </w:r>
      <w:r w:rsidR="002770F6" w:rsidRPr="003E45EA">
        <w:rPr>
          <w:rFonts w:asciiTheme="majorHAnsi" w:hAnsiTheme="majorHAnsi" w:cstheme="majorHAnsi"/>
          <w:szCs w:val="22"/>
        </w:rPr>
        <w:t xml:space="preserve">ank </w:t>
      </w:r>
      <w:r w:rsidR="00131EB9" w:rsidRPr="003E45EA">
        <w:rPr>
          <w:rFonts w:asciiTheme="majorHAnsi" w:hAnsiTheme="majorHAnsi" w:cstheme="majorHAnsi"/>
          <w:szCs w:val="22"/>
        </w:rPr>
        <w:t>o</w:t>
      </w:r>
      <w:r w:rsidR="002770F6" w:rsidRPr="003E45EA">
        <w:rPr>
          <w:rFonts w:asciiTheme="majorHAnsi" w:hAnsiTheme="majorHAnsi" w:cstheme="majorHAnsi"/>
          <w:szCs w:val="22"/>
        </w:rPr>
        <w:t xml:space="preserve">f </w:t>
      </w:r>
      <w:r w:rsidR="00131EB9" w:rsidRPr="003E45EA">
        <w:rPr>
          <w:rFonts w:asciiTheme="majorHAnsi" w:hAnsiTheme="majorHAnsi" w:cstheme="majorHAnsi"/>
          <w:szCs w:val="22"/>
        </w:rPr>
        <w:t>C</w:t>
      </w:r>
      <w:r w:rsidR="002770F6" w:rsidRPr="003E45EA">
        <w:rPr>
          <w:rFonts w:asciiTheme="majorHAnsi" w:hAnsiTheme="majorHAnsi" w:cstheme="majorHAnsi"/>
          <w:szCs w:val="22"/>
        </w:rPr>
        <w:t xml:space="preserve">hina </w:t>
      </w:r>
      <w:r w:rsidR="009D7873" w:rsidRPr="003E45EA">
        <w:rPr>
          <w:rFonts w:asciiTheme="majorHAnsi" w:hAnsiTheme="majorHAnsi" w:cstheme="majorHAnsi"/>
          <w:szCs w:val="22"/>
        </w:rPr>
        <w:t xml:space="preserve">cut the seven-day reverse repurchase rates by </w:t>
      </w:r>
      <w:r w:rsidR="00252B3E" w:rsidRPr="003E45EA">
        <w:rPr>
          <w:rFonts w:asciiTheme="majorHAnsi" w:hAnsiTheme="majorHAnsi" w:cstheme="majorHAnsi"/>
          <w:szCs w:val="22"/>
        </w:rPr>
        <w:t>ten</w:t>
      </w:r>
      <w:r w:rsidR="009D7873" w:rsidRPr="003E45EA">
        <w:rPr>
          <w:rFonts w:asciiTheme="majorHAnsi" w:hAnsiTheme="majorHAnsi" w:cstheme="majorHAnsi"/>
          <w:szCs w:val="22"/>
        </w:rPr>
        <w:t xml:space="preserve"> basis points to 1.4% from 1.5%, the People’s Bank of China Governor Pan Gongsheng said at a press briefing on the </w:t>
      </w:r>
      <w:r w:rsidR="00390B93" w:rsidRPr="003E45EA">
        <w:rPr>
          <w:rFonts w:asciiTheme="majorHAnsi" w:hAnsiTheme="majorHAnsi" w:cstheme="majorHAnsi"/>
          <w:szCs w:val="22"/>
        </w:rPr>
        <w:t>6</w:t>
      </w:r>
      <w:r w:rsidR="00390B93" w:rsidRPr="003E45EA">
        <w:rPr>
          <w:rFonts w:asciiTheme="majorHAnsi" w:hAnsiTheme="majorHAnsi" w:cstheme="majorHAnsi"/>
          <w:szCs w:val="22"/>
          <w:vertAlign w:val="superscript"/>
        </w:rPr>
        <w:t>th of</w:t>
      </w:r>
      <w:r w:rsidR="009D7873" w:rsidRPr="003E45EA">
        <w:rPr>
          <w:rFonts w:asciiTheme="majorHAnsi" w:hAnsiTheme="majorHAnsi" w:cstheme="majorHAnsi"/>
          <w:szCs w:val="22"/>
        </w:rPr>
        <w:t xml:space="preserve"> May 2025. </w:t>
      </w:r>
    </w:p>
    <w:p w14:paraId="6A92ADB0" w14:textId="16291183" w:rsidR="00515B71" w:rsidRDefault="009D7873" w:rsidP="00515B71">
      <w:pPr>
        <w:pStyle w:val="ListParagraph"/>
        <w:spacing w:before="120" w:after="120" w:line="276" w:lineRule="auto"/>
        <w:ind w:left="357"/>
        <w:rPr>
          <w:rFonts w:asciiTheme="majorHAnsi" w:hAnsiTheme="majorHAnsi" w:cstheme="majorHAnsi"/>
          <w:szCs w:val="22"/>
        </w:rPr>
      </w:pPr>
      <w:r w:rsidRPr="003E45EA">
        <w:rPr>
          <w:rFonts w:asciiTheme="majorHAnsi" w:hAnsiTheme="majorHAnsi" w:cstheme="majorHAnsi"/>
          <w:szCs w:val="22"/>
        </w:rPr>
        <w:t xml:space="preserve">The central bank will also lower the reserve requirement ratio, which determines the amount of cash banks must hold in reserves, by </w:t>
      </w:r>
      <w:r w:rsidR="00252B3E" w:rsidRPr="003E45EA">
        <w:rPr>
          <w:rFonts w:asciiTheme="majorHAnsi" w:hAnsiTheme="majorHAnsi" w:cstheme="majorHAnsi"/>
          <w:szCs w:val="22"/>
        </w:rPr>
        <w:t>fifty</w:t>
      </w:r>
      <w:r w:rsidRPr="003E45EA">
        <w:rPr>
          <w:rFonts w:asciiTheme="majorHAnsi" w:hAnsiTheme="majorHAnsi" w:cstheme="majorHAnsi"/>
          <w:szCs w:val="22"/>
        </w:rPr>
        <w:t xml:space="preserve"> basis points, unleashing additional liquidity of </w:t>
      </w:r>
      <w:r w:rsidR="00252B3E" w:rsidRPr="003E45EA">
        <w:rPr>
          <w:rFonts w:asciiTheme="majorHAnsi" w:hAnsiTheme="majorHAnsi" w:cstheme="majorHAnsi"/>
          <w:szCs w:val="22"/>
        </w:rPr>
        <w:t>one</w:t>
      </w:r>
      <w:r w:rsidRPr="003E45EA">
        <w:rPr>
          <w:rFonts w:asciiTheme="majorHAnsi" w:hAnsiTheme="majorHAnsi" w:cstheme="majorHAnsi"/>
          <w:szCs w:val="22"/>
        </w:rPr>
        <w:t xml:space="preserve"> trillion yuan (US$138.5 billion) to the market, effective 15</w:t>
      </w:r>
      <w:r w:rsidRPr="003E45EA">
        <w:rPr>
          <w:rFonts w:asciiTheme="majorHAnsi" w:hAnsiTheme="majorHAnsi" w:cstheme="majorHAnsi"/>
          <w:szCs w:val="22"/>
          <w:vertAlign w:val="superscript"/>
        </w:rPr>
        <w:t>th</w:t>
      </w:r>
      <w:r w:rsidRPr="003E45EA">
        <w:rPr>
          <w:rFonts w:asciiTheme="majorHAnsi" w:hAnsiTheme="majorHAnsi" w:cstheme="majorHAnsi"/>
          <w:szCs w:val="22"/>
        </w:rPr>
        <w:t xml:space="preserve"> May 2025. </w:t>
      </w:r>
    </w:p>
    <w:p w14:paraId="55813FFA" w14:textId="77777777" w:rsidR="009E7EF6" w:rsidRPr="003E45EA" w:rsidRDefault="009E7EF6" w:rsidP="009E7EF6">
      <w:pPr>
        <w:pStyle w:val="Heading2"/>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Global Share Returns</w:t>
      </w:r>
    </w:p>
    <w:p w14:paraId="206A9790" w14:textId="2548419A" w:rsidR="008A4D67" w:rsidRPr="003E45EA" w:rsidRDefault="00BE2741" w:rsidP="008A4D67">
      <w:pPr>
        <w:spacing w:before="120"/>
        <w:rPr>
          <w:rFonts w:asciiTheme="majorHAnsi" w:hAnsiTheme="majorHAnsi" w:cstheme="majorHAnsi"/>
        </w:rPr>
      </w:pPr>
      <w:r w:rsidRPr="003E45EA">
        <w:rPr>
          <w:rFonts w:asciiTheme="majorHAnsi" w:hAnsiTheme="majorHAnsi" w:cstheme="majorHAnsi"/>
        </w:rPr>
        <w:t>For share markets</w:t>
      </w:r>
      <w:r w:rsidR="00DD6C05" w:rsidRPr="003E45EA">
        <w:rPr>
          <w:rFonts w:asciiTheme="majorHAnsi" w:hAnsiTheme="majorHAnsi" w:cstheme="majorHAnsi"/>
        </w:rPr>
        <w:t xml:space="preserve">, </w:t>
      </w:r>
      <w:r w:rsidR="00E51D44" w:rsidRPr="003E45EA">
        <w:rPr>
          <w:rFonts w:asciiTheme="majorHAnsi" w:hAnsiTheme="majorHAnsi" w:cstheme="majorHAnsi"/>
        </w:rPr>
        <w:t xml:space="preserve">the </w:t>
      </w:r>
      <w:r w:rsidR="003824D8" w:rsidRPr="003E45EA">
        <w:rPr>
          <w:rFonts w:asciiTheme="majorHAnsi" w:hAnsiTheme="majorHAnsi" w:cstheme="majorHAnsi"/>
        </w:rPr>
        <w:t xml:space="preserve">focus </w:t>
      </w:r>
      <w:r w:rsidR="00F65F3F" w:rsidRPr="003E45EA">
        <w:rPr>
          <w:rFonts w:asciiTheme="majorHAnsi" w:hAnsiTheme="majorHAnsi" w:cstheme="majorHAnsi"/>
        </w:rPr>
        <w:t>re</w:t>
      </w:r>
      <w:r w:rsidR="002B61FC" w:rsidRPr="003E45EA">
        <w:rPr>
          <w:rFonts w:asciiTheme="majorHAnsi" w:hAnsiTheme="majorHAnsi" w:cstheme="majorHAnsi"/>
        </w:rPr>
        <w:t>mains on</w:t>
      </w:r>
      <w:r w:rsidR="008A1580" w:rsidRPr="003E45EA">
        <w:rPr>
          <w:rFonts w:asciiTheme="majorHAnsi" w:hAnsiTheme="majorHAnsi" w:cstheme="majorHAnsi"/>
        </w:rPr>
        <w:t xml:space="preserve"> </w:t>
      </w:r>
      <w:r w:rsidR="008A1580" w:rsidRPr="003E45EA">
        <w:rPr>
          <w:rFonts w:asciiTheme="majorHAnsi" w:hAnsiTheme="majorHAnsi" w:cstheme="majorHAnsi"/>
          <w:b/>
          <w:bCs/>
        </w:rPr>
        <w:t>US tariffs</w:t>
      </w:r>
      <w:r w:rsidR="008A1580" w:rsidRPr="003E45EA">
        <w:rPr>
          <w:rFonts w:asciiTheme="majorHAnsi" w:hAnsiTheme="majorHAnsi" w:cstheme="majorHAnsi"/>
        </w:rPr>
        <w:t>,</w:t>
      </w:r>
      <w:r w:rsidR="002B61FC" w:rsidRPr="003E45EA">
        <w:rPr>
          <w:rFonts w:asciiTheme="majorHAnsi" w:hAnsiTheme="majorHAnsi" w:cstheme="majorHAnsi"/>
        </w:rPr>
        <w:t xml:space="preserve"> </w:t>
      </w:r>
      <w:r w:rsidR="00B23557" w:rsidRPr="003E45EA">
        <w:rPr>
          <w:rFonts w:asciiTheme="majorHAnsi" w:hAnsiTheme="majorHAnsi" w:cstheme="majorHAnsi"/>
          <w:b/>
          <w:bCs/>
        </w:rPr>
        <w:t>inflation</w:t>
      </w:r>
      <w:r w:rsidR="0089317F" w:rsidRPr="003E45EA">
        <w:rPr>
          <w:rFonts w:asciiTheme="majorHAnsi" w:hAnsiTheme="majorHAnsi" w:cstheme="majorHAnsi"/>
          <w:b/>
          <w:bCs/>
        </w:rPr>
        <w:t xml:space="preserve">, </w:t>
      </w:r>
      <w:r w:rsidR="00DE11E9" w:rsidRPr="003E45EA">
        <w:rPr>
          <w:rFonts w:asciiTheme="majorHAnsi" w:hAnsiTheme="majorHAnsi" w:cstheme="majorHAnsi"/>
          <w:b/>
          <w:bCs/>
        </w:rPr>
        <w:t>employment,</w:t>
      </w:r>
      <w:r w:rsidR="0089317F" w:rsidRPr="003E45EA">
        <w:rPr>
          <w:rFonts w:asciiTheme="majorHAnsi" w:hAnsiTheme="majorHAnsi" w:cstheme="majorHAnsi"/>
          <w:b/>
          <w:bCs/>
        </w:rPr>
        <w:t xml:space="preserve"> </w:t>
      </w:r>
      <w:r w:rsidR="003C5801" w:rsidRPr="003E45EA">
        <w:rPr>
          <w:rFonts w:asciiTheme="majorHAnsi" w:hAnsiTheme="majorHAnsi" w:cstheme="majorHAnsi"/>
        </w:rPr>
        <w:t xml:space="preserve">and </w:t>
      </w:r>
      <w:r w:rsidR="005738C3" w:rsidRPr="003E45EA">
        <w:rPr>
          <w:rFonts w:asciiTheme="majorHAnsi" w:hAnsiTheme="majorHAnsi" w:cstheme="majorHAnsi"/>
          <w:b/>
          <w:bCs/>
        </w:rPr>
        <w:t>interest rate</w:t>
      </w:r>
      <w:r w:rsidR="008A1580" w:rsidRPr="003E45EA">
        <w:rPr>
          <w:rFonts w:asciiTheme="majorHAnsi" w:hAnsiTheme="majorHAnsi" w:cstheme="majorHAnsi"/>
          <w:b/>
          <w:bCs/>
        </w:rPr>
        <w:t>s</w:t>
      </w:r>
      <w:r w:rsidR="00BC16B8" w:rsidRPr="003E45EA">
        <w:rPr>
          <w:rFonts w:asciiTheme="majorHAnsi" w:hAnsiTheme="majorHAnsi" w:cstheme="majorHAnsi"/>
          <w:b/>
          <w:bCs/>
        </w:rPr>
        <w:t>.</w:t>
      </w:r>
      <w:r w:rsidR="00937E69" w:rsidRPr="003E45EA">
        <w:rPr>
          <w:rFonts w:asciiTheme="majorHAnsi" w:hAnsiTheme="majorHAnsi" w:cstheme="majorHAnsi"/>
        </w:rPr>
        <w:t xml:space="preserve"> </w:t>
      </w:r>
      <w:r w:rsidR="007343AC" w:rsidRPr="003E45EA">
        <w:rPr>
          <w:rFonts w:asciiTheme="majorHAnsi" w:hAnsiTheme="majorHAnsi" w:cstheme="majorHAnsi"/>
        </w:rPr>
        <w:t>Unhedged g</w:t>
      </w:r>
      <w:r w:rsidR="00557108" w:rsidRPr="003E45EA">
        <w:rPr>
          <w:rFonts w:asciiTheme="majorHAnsi" w:hAnsiTheme="majorHAnsi" w:cstheme="majorHAnsi"/>
        </w:rPr>
        <w:t xml:space="preserve">lobal shares </w:t>
      </w:r>
      <w:r w:rsidR="005738C3" w:rsidRPr="003E45EA">
        <w:rPr>
          <w:rFonts w:asciiTheme="majorHAnsi" w:hAnsiTheme="majorHAnsi" w:cstheme="majorHAnsi"/>
        </w:rPr>
        <w:t xml:space="preserve">had returns </w:t>
      </w:r>
      <w:r w:rsidR="00FD5555">
        <w:rPr>
          <w:rFonts w:asciiTheme="majorHAnsi" w:hAnsiTheme="majorHAnsi" w:cstheme="majorHAnsi"/>
        </w:rPr>
        <w:t>were impacted</w:t>
      </w:r>
      <w:r w:rsidR="00F4622D" w:rsidRPr="003E45EA">
        <w:rPr>
          <w:rFonts w:asciiTheme="majorHAnsi" w:hAnsiTheme="majorHAnsi" w:cstheme="majorHAnsi"/>
        </w:rPr>
        <w:t xml:space="preserve"> by a </w:t>
      </w:r>
      <w:r w:rsidR="00FD5555">
        <w:rPr>
          <w:rFonts w:asciiTheme="majorHAnsi" w:hAnsiTheme="majorHAnsi" w:cstheme="majorHAnsi"/>
        </w:rPr>
        <w:t>strength</w:t>
      </w:r>
      <w:r w:rsidR="008A1580" w:rsidRPr="003E45EA">
        <w:rPr>
          <w:rFonts w:asciiTheme="majorHAnsi" w:hAnsiTheme="majorHAnsi" w:cstheme="majorHAnsi"/>
        </w:rPr>
        <w:t>en</w:t>
      </w:r>
      <w:r w:rsidR="005738C3" w:rsidRPr="003E45EA">
        <w:rPr>
          <w:rFonts w:asciiTheme="majorHAnsi" w:hAnsiTheme="majorHAnsi" w:cstheme="majorHAnsi"/>
        </w:rPr>
        <w:t>ing</w:t>
      </w:r>
      <w:r w:rsidR="004B2806" w:rsidRPr="003E45EA">
        <w:rPr>
          <w:rFonts w:asciiTheme="majorHAnsi" w:hAnsiTheme="majorHAnsi" w:cstheme="majorHAnsi"/>
        </w:rPr>
        <w:t xml:space="preserve"> </w:t>
      </w:r>
      <w:r w:rsidR="00F4622D" w:rsidRPr="003E45EA">
        <w:rPr>
          <w:rFonts w:asciiTheme="majorHAnsi" w:hAnsiTheme="majorHAnsi" w:cstheme="majorHAnsi"/>
        </w:rPr>
        <w:t>AUD/USD</w:t>
      </w:r>
      <w:r w:rsidR="00557108" w:rsidRPr="003E45EA">
        <w:rPr>
          <w:rFonts w:asciiTheme="majorHAnsi" w:hAnsiTheme="majorHAnsi" w:cstheme="majorHAnsi"/>
        </w:rPr>
        <w:t xml:space="preserve"> (0.</w:t>
      </w:r>
      <w:r w:rsidR="00382D5C" w:rsidRPr="003E45EA">
        <w:rPr>
          <w:rFonts w:asciiTheme="majorHAnsi" w:hAnsiTheme="majorHAnsi" w:cstheme="majorHAnsi"/>
        </w:rPr>
        <w:t>6</w:t>
      </w:r>
      <w:r w:rsidR="00C63B24">
        <w:rPr>
          <w:rFonts w:asciiTheme="majorHAnsi" w:hAnsiTheme="majorHAnsi" w:cstheme="majorHAnsi"/>
        </w:rPr>
        <w:t>538</w:t>
      </w:r>
      <w:r w:rsidR="005738C3" w:rsidRPr="003E45EA">
        <w:rPr>
          <w:rFonts w:asciiTheme="majorHAnsi" w:hAnsiTheme="majorHAnsi" w:cstheme="majorHAnsi"/>
        </w:rPr>
        <w:t xml:space="preserve"> </w:t>
      </w:r>
      <w:r w:rsidR="005A428D" w:rsidRPr="003E45EA">
        <w:rPr>
          <w:rFonts w:asciiTheme="majorHAnsi" w:hAnsiTheme="majorHAnsi" w:cstheme="majorHAnsi"/>
        </w:rPr>
        <w:t>from</w:t>
      </w:r>
      <w:r w:rsidR="00557108" w:rsidRPr="003E45EA">
        <w:rPr>
          <w:rFonts w:asciiTheme="majorHAnsi" w:hAnsiTheme="majorHAnsi" w:cstheme="majorHAnsi"/>
        </w:rPr>
        <w:t xml:space="preserve"> 0.6</w:t>
      </w:r>
      <w:r w:rsidR="00C63B24">
        <w:rPr>
          <w:rFonts w:asciiTheme="majorHAnsi" w:hAnsiTheme="majorHAnsi" w:cstheme="majorHAnsi"/>
        </w:rPr>
        <w:t>469</w:t>
      </w:r>
      <w:r w:rsidR="00557108" w:rsidRPr="003E45EA">
        <w:rPr>
          <w:rFonts w:asciiTheme="majorHAnsi" w:hAnsiTheme="majorHAnsi" w:cstheme="majorHAnsi"/>
        </w:rPr>
        <w:t xml:space="preserve">) which had </w:t>
      </w:r>
      <w:r w:rsidR="0083662A" w:rsidRPr="003E45EA">
        <w:rPr>
          <w:rFonts w:asciiTheme="majorHAnsi" w:hAnsiTheme="majorHAnsi" w:cstheme="majorHAnsi"/>
        </w:rPr>
        <w:t>a</w:t>
      </w:r>
      <w:r w:rsidR="00557108" w:rsidRPr="003E45EA">
        <w:rPr>
          <w:rFonts w:asciiTheme="majorHAnsi" w:hAnsiTheme="majorHAnsi" w:cstheme="majorHAnsi"/>
        </w:rPr>
        <w:t xml:space="preserve"> </w:t>
      </w:r>
      <w:r w:rsidR="00C63B24" w:rsidRPr="00C63B24">
        <w:rPr>
          <w:rFonts w:asciiTheme="majorHAnsi" w:hAnsiTheme="majorHAnsi" w:cstheme="majorHAnsi"/>
          <w:b/>
          <w:bCs/>
        </w:rPr>
        <w:t>nega</w:t>
      </w:r>
      <w:r w:rsidR="00E538C0" w:rsidRPr="00C63B24">
        <w:rPr>
          <w:rFonts w:asciiTheme="majorHAnsi" w:hAnsiTheme="majorHAnsi" w:cstheme="majorHAnsi"/>
          <w:b/>
          <w:bCs/>
        </w:rPr>
        <w:t>ti</w:t>
      </w:r>
      <w:r w:rsidR="00E538C0" w:rsidRPr="00E538C0">
        <w:rPr>
          <w:rFonts w:asciiTheme="majorHAnsi" w:hAnsiTheme="majorHAnsi" w:cstheme="majorHAnsi"/>
          <w:b/>
          <w:bCs/>
        </w:rPr>
        <w:t>ve</w:t>
      </w:r>
      <w:r w:rsidR="00557108" w:rsidRPr="003E45EA">
        <w:rPr>
          <w:rFonts w:asciiTheme="majorHAnsi" w:hAnsiTheme="majorHAnsi" w:cstheme="majorHAnsi"/>
          <w:b/>
          <w:bCs/>
        </w:rPr>
        <w:t xml:space="preserve"> impact of </w:t>
      </w:r>
      <w:r w:rsidR="00F65F3F" w:rsidRPr="003E45EA">
        <w:rPr>
          <w:rFonts w:asciiTheme="majorHAnsi" w:hAnsiTheme="majorHAnsi" w:cstheme="majorHAnsi"/>
          <w:b/>
          <w:bCs/>
        </w:rPr>
        <w:t>(</w:t>
      </w:r>
      <w:r w:rsidR="00C63B24">
        <w:rPr>
          <w:rFonts w:asciiTheme="majorHAnsi" w:hAnsiTheme="majorHAnsi" w:cstheme="majorHAnsi"/>
          <w:b/>
          <w:bCs/>
        </w:rPr>
        <w:t>-</w:t>
      </w:r>
      <w:r w:rsidR="00E538C0">
        <w:rPr>
          <w:rFonts w:asciiTheme="majorHAnsi" w:hAnsiTheme="majorHAnsi" w:cstheme="majorHAnsi"/>
          <w:b/>
          <w:bCs/>
        </w:rPr>
        <w:t>1.</w:t>
      </w:r>
      <w:r w:rsidR="00C63B24">
        <w:rPr>
          <w:rFonts w:asciiTheme="majorHAnsi" w:hAnsiTheme="majorHAnsi" w:cstheme="majorHAnsi"/>
          <w:b/>
          <w:bCs/>
        </w:rPr>
        <w:t>07</w:t>
      </w:r>
      <w:r w:rsidR="00F65F3F" w:rsidRPr="003E45EA">
        <w:rPr>
          <w:rFonts w:asciiTheme="majorHAnsi" w:hAnsiTheme="majorHAnsi" w:cstheme="majorHAnsi"/>
          <w:b/>
          <w:bCs/>
        </w:rPr>
        <w:t xml:space="preserve">%) </w:t>
      </w:r>
      <w:r w:rsidR="0005073D" w:rsidRPr="003E45EA">
        <w:rPr>
          <w:rFonts w:asciiTheme="majorHAnsi" w:hAnsiTheme="majorHAnsi" w:cstheme="majorHAnsi"/>
          <w:b/>
          <w:bCs/>
        </w:rPr>
        <w:t>i</w:t>
      </w:r>
      <w:r w:rsidR="00557108" w:rsidRPr="003E45EA">
        <w:rPr>
          <w:rFonts w:asciiTheme="majorHAnsi" w:hAnsiTheme="majorHAnsi" w:cstheme="majorHAnsi"/>
          <w:b/>
          <w:bCs/>
        </w:rPr>
        <w:t xml:space="preserve">n </w:t>
      </w:r>
      <w:r w:rsidR="001D6939" w:rsidRPr="003E45EA">
        <w:rPr>
          <w:rFonts w:asciiTheme="majorHAnsi" w:hAnsiTheme="majorHAnsi" w:cstheme="majorHAnsi"/>
          <w:b/>
          <w:bCs/>
        </w:rPr>
        <w:t xml:space="preserve">AUD </w:t>
      </w:r>
      <w:r w:rsidR="00557108" w:rsidRPr="003E45EA">
        <w:rPr>
          <w:rFonts w:asciiTheme="majorHAnsi" w:hAnsiTheme="majorHAnsi" w:cstheme="majorHAnsi"/>
          <w:b/>
          <w:bCs/>
        </w:rPr>
        <w:t>returns</w:t>
      </w:r>
      <w:r w:rsidR="00557108" w:rsidRPr="003E45EA">
        <w:rPr>
          <w:rFonts w:asciiTheme="majorHAnsi" w:hAnsiTheme="majorHAnsi" w:cstheme="majorHAnsi"/>
        </w:rPr>
        <w:t xml:space="preserve"> over the month</w:t>
      </w:r>
      <w:r w:rsidR="00EB2B42" w:rsidRPr="003E45EA">
        <w:rPr>
          <w:rFonts w:asciiTheme="majorHAnsi" w:hAnsiTheme="majorHAnsi" w:cstheme="majorHAnsi"/>
        </w:rPr>
        <w:t xml:space="preserve"> for unhedged investors</w:t>
      </w:r>
      <w:r w:rsidR="00557108" w:rsidRPr="003E45EA">
        <w:rPr>
          <w:rFonts w:asciiTheme="majorHAnsi" w:hAnsiTheme="majorHAnsi" w:cstheme="majorHAnsi"/>
        </w:rPr>
        <w:t>.</w:t>
      </w:r>
      <w:r w:rsidR="007B7DEB" w:rsidRPr="003E45EA">
        <w:rPr>
          <w:rFonts w:asciiTheme="majorHAnsi" w:hAnsiTheme="majorHAnsi" w:cstheme="majorHAnsi"/>
        </w:rPr>
        <w:t xml:space="preserve"> </w:t>
      </w:r>
    </w:p>
    <w:p w14:paraId="13694BB7" w14:textId="43D1DAC4" w:rsidR="003C5801" w:rsidRPr="003E45EA" w:rsidRDefault="00557108" w:rsidP="008A4D67">
      <w:pPr>
        <w:spacing w:before="120"/>
        <w:rPr>
          <w:rFonts w:asciiTheme="majorHAnsi" w:hAnsiTheme="majorHAnsi" w:cstheme="majorHAnsi"/>
        </w:rPr>
      </w:pPr>
      <w:r w:rsidRPr="003E45EA">
        <w:rPr>
          <w:rFonts w:asciiTheme="majorHAnsi" w:hAnsiTheme="majorHAnsi" w:cstheme="majorHAnsi"/>
        </w:rPr>
        <w:t>M</w:t>
      </w:r>
      <w:r w:rsidR="002B052C" w:rsidRPr="003E45EA">
        <w:rPr>
          <w:rFonts w:asciiTheme="majorHAnsi" w:hAnsiTheme="majorHAnsi" w:cstheme="majorHAnsi"/>
        </w:rPr>
        <w:t xml:space="preserve">ost investors are content to </w:t>
      </w:r>
      <w:r w:rsidR="002B052C" w:rsidRPr="003E45EA">
        <w:rPr>
          <w:rFonts w:asciiTheme="majorHAnsi" w:hAnsiTheme="majorHAnsi" w:cstheme="majorHAnsi"/>
          <w:b/>
          <w:bCs/>
        </w:rPr>
        <w:t xml:space="preserve">stay invested and </w:t>
      </w:r>
      <w:r w:rsidR="00711DF0" w:rsidRPr="003E45EA">
        <w:rPr>
          <w:rFonts w:asciiTheme="majorHAnsi" w:hAnsiTheme="majorHAnsi" w:cstheme="majorHAnsi"/>
          <w:b/>
          <w:bCs/>
        </w:rPr>
        <w:t>opportunistically add to their positions</w:t>
      </w:r>
      <w:r w:rsidR="00DA22F2" w:rsidRPr="003E45EA">
        <w:rPr>
          <w:rFonts w:asciiTheme="majorHAnsi" w:hAnsiTheme="majorHAnsi" w:cstheme="majorHAnsi"/>
        </w:rPr>
        <w:t xml:space="preserve"> </w:t>
      </w:r>
      <w:r w:rsidR="008D0519" w:rsidRPr="003E45EA">
        <w:rPr>
          <w:rFonts w:asciiTheme="majorHAnsi" w:hAnsiTheme="majorHAnsi" w:cstheme="majorHAnsi"/>
        </w:rPr>
        <w:t xml:space="preserve">which has proven the correct strategy over the </w:t>
      </w:r>
      <w:r w:rsidR="0005073D" w:rsidRPr="003E45EA">
        <w:rPr>
          <w:rFonts w:asciiTheme="majorHAnsi" w:hAnsiTheme="majorHAnsi" w:cstheme="majorHAnsi"/>
        </w:rPr>
        <w:t>recent medium-term trend</w:t>
      </w:r>
      <w:r w:rsidR="008D0519" w:rsidRPr="003E45EA">
        <w:rPr>
          <w:rFonts w:asciiTheme="majorHAnsi" w:hAnsiTheme="majorHAnsi" w:cstheme="majorHAnsi"/>
        </w:rPr>
        <w:t>.</w:t>
      </w:r>
      <w:r w:rsidR="002B052C" w:rsidRPr="003E45EA">
        <w:rPr>
          <w:rFonts w:asciiTheme="majorHAnsi" w:hAnsiTheme="majorHAnsi" w:cstheme="majorHAnsi"/>
        </w:rPr>
        <w:t xml:space="preserve"> </w:t>
      </w:r>
    </w:p>
    <w:p w14:paraId="6A843746" w14:textId="719868E0" w:rsidR="00317447" w:rsidRPr="003E45EA" w:rsidRDefault="00C63B24" w:rsidP="00CC263B">
      <w:pPr>
        <w:jc w:val="center"/>
        <w:rPr>
          <w:rFonts w:asciiTheme="majorHAnsi" w:hAnsiTheme="majorHAnsi" w:cstheme="majorHAnsi"/>
        </w:rPr>
      </w:pPr>
      <w:r w:rsidRPr="00C63B24">
        <w:rPr>
          <w:rFonts w:asciiTheme="majorHAnsi" w:hAnsiTheme="majorHAnsi" w:cstheme="majorHAnsi"/>
          <w:noProof/>
        </w:rPr>
        <w:lastRenderedPageBreak/>
        <w:drawing>
          <wp:inline distT="0" distB="0" distL="0" distR="0" wp14:anchorId="45BECCD0" wp14:editId="70C285EA">
            <wp:extent cx="4600575" cy="3676650"/>
            <wp:effectExtent l="0" t="0" r="9525" b="0"/>
            <wp:docPr id="526837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3676650"/>
                    </a:xfrm>
                    <a:prstGeom prst="rect">
                      <a:avLst/>
                    </a:prstGeom>
                    <a:noFill/>
                    <a:ln>
                      <a:noFill/>
                    </a:ln>
                  </pic:spPr>
                </pic:pic>
              </a:graphicData>
            </a:graphic>
          </wp:inline>
        </w:drawing>
      </w:r>
    </w:p>
    <w:p w14:paraId="1D14B791" w14:textId="78E0A3BD" w:rsidR="00CC263B" w:rsidRPr="003E45EA" w:rsidRDefault="00863CFE" w:rsidP="00CC263B">
      <w:pPr>
        <w:jc w:val="center"/>
        <w:rPr>
          <w:rFonts w:asciiTheme="majorHAnsi" w:hAnsiTheme="majorHAnsi" w:cstheme="majorHAnsi"/>
        </w:rPr>
      </w:pPr>
      <w:r w:rsidRPr="00863CFE">
        <w:rPr>
          <w:rFonts w:asciiTheme="majorHAnsi" w:hAnsiTheme="majorHAnsi" w:cstheme="majorHAnsi"/>
        </w:rPr>
        <w:t xml:space="preserve">Source data: Lonsec as 31st </w:t>
      </w:r>
      <w:r w:rsidR="001A23BB">
        <w:rPr>
          <w:rFonts w:asciiTheme="majorHAnsi" w:hAnsiTheme="majorHAnsi" w:cstheme="majorHAnsi"/>
        </w:rPr>
        <w:t>August</w:t>
      </w:r>
      <w:r w:rsidRPr="00863CFE">
        <w:rPr>
          <w:rFonts w:asciiTheme="majorHAnsi" w:hAnsiTheme="majorHAnsi" w:cstheme="majorHAnsi"/>
        </w:rPr>
        <w:t xml:space="preserve"> 2025</w:t>
      </w:r>
    </w:p>
    <w:p w14:paraId="114DA578" w14:textId="59D32AEA" w:rsidR="00E51A06" w:rsidRPr="003E45EA" w:rsidRDefault="001B12A9" w:rsidP="00CC263B">
      <w:pPr>
        <w:rPr>
          <w:rFonts w:asciiTheme="majorHAnsi" w:hAnsiTheme="majorHAnsi" w:cstheme="majorHAnsi"/>
        </w:rPr>
      </w:pPr>
      <w:r w:rsidRPr="003E45EA">
        <w:rPr>
          <w:rFonts w:asciiTheme="majorHAnsi" w:hAnsiTheme="majorHAnsi" w:cstheme="majorHAnsi"/>
        </w:rPr>
        <w:t>In AUD terms, t</w:t>
      </w:r>
      <w:r w:rsidR="009E7EF6" w:rsidRPr="003E45EA">
        <w:rPr>
          <w:rFonts w:asciiTheme="majorHAnsi" w:hAnsiTheme="majorHAnsi" w:cstheme="majorHAnsi"/>
        </w:rPr>
        <w:t xml:space="preserve">he </w:t>
      </w:r>
      <w:r w:rsidR="008E7965" w:rsidRPr="003E45EA">
        <w:rPr>
          <w:rFonts w:asciiTheme="majorHAnsi" w:hAnsiTheme="majorHAnsi" w:cstheme="majorHAnsi"/>
        </w:rPr>
        <w:t>global</w:t>
      </w:r>
      <w:r w:rsidR="00BF5596" w:rsidRPr="003E45EA">
        <w:rPr>
          <w:rFonts w:asciiTheme="majorHAnsi" w:hAnsiTheme="majorHAnsi" w:cstheme="majorHAnsi"/>
        </w:rPr>
        <w:t xml:space="preserve"> </w:t>
      </w:r>
      <w:r w:rsidR="00E101E2" w:rsidRPr="003E45EA">
        <w:rPr>
          <w:rFonts w:asciiTheme="majorHAnsi" w:hAnsiTheme="majorHAnsi" w:cstheme="majorHAnsi"/>
        </w:rPr>
        <w:t xml:space="preserve">share </w:t>
      </w:r>
      <w:r w:rsidR="009E7EF6" w:rsidRPr="003E45EA">
        <w:rPr>
          <w:rFonts w:asciiTheme="majorHAnsi" w:hAnsiTheme="majorHAnsi" w:cstheme="majorHAnsi"/>
        </w:rPr>
        <w:t xml:space="preserve">markets posted </w:t>
      </w:r>
      <w:r w:rsidR="005909DA" w:rsidRPr="003E45EA">
        <w:rPr>
          <w:rFonts w:asciiTheme="majorHAnsi" w:hAnsiTheme="majorHAnsi" w:cstheme="majorHAnsi"/>
        </w:rPr>
        <w:t>one</w:t>
      </w:r>
      <w:r w:rsidR="009E7EF6" w:rsidRPr="003E45EA">
        <w:rPr>
          <w:rFonts w:asciiTheme="majorHAnsi" w:hAnsiTheme="majorHAnsi" w:cstheme="majorHAnsi"/>
        </w:rPr>
        <w:t xml:space="preserve"> month return of</w:t>
      </w:r>
      <w:r w:rsidR="00BF5596" w:rsidRPr="003E45EA">
        <w:rPr>
          <w:rFonts w:asciiTheme="majorHAnsi" w:hAnsiTheme="majorHAnsi" w:cstheme="majorHAnsi"/>
        </w:rPr>
        <w:t xml:space="preserve"> </w:t>
      </w:r>
      <w:r w:rsidR="009E7EF6" w:rsidRPr="003E45EA">
        <w:rPr>
          <w:rFonts w:asciiTheme="majorHAnsi" w:hAnsiTheme="majorHAnsi" w:cstheme="majorHAnsi"/>
        </w:rPr>
        <w:t>(</w:t>
      </w:r>
      <w:r w:rsidR="000751E0" w:rsidRPr="003E45EA">
        <w:rPr>
          <w:rFonts w:asciiTheme="majorHAnsi" w:hAnsiTheme="majorHAnsi" w:cstheme="majorHAnsi"/>
        </w:rPr>
        <w:t>+</w:t>
      </w:r>
      <w:r w:rsidR="00C63B24">
        <w:rPr>
          <w:rFonts w:asciiTheme="majorHAnsi" w:hAnsiTheme="majorHAnsi" w:cstheme="majorHAnsi"/>
        </w:rPr>
        <w:t>0.95</w:t>
      </w:r>
      <w:r w:rsidR="009E7EF6" w:rsidRPr="003E45EA">
        <w:rPr>
          <w:rFonts w:asciiTheme="majorHAnsi" w:hAnsiTheme="majorHAnsi" w:cstheme="majorHAnsi"/>
        </w:rPr>
        <w:t>%)</w:t>
      </w:r>
      <w:r w:rsidR="00E51A06" w:rsidRPr="003E45EA">
        <w:rPr>
          <w:rFonts w:asciiTheme="majorHAnsi" w:hAnsiTheme="majorHAnsi" w:cstheme="majorHAnsi"/>
        </w:rPr>
        <w:t>. T</w:t>
      </w:r>
      <w:r w:rsidR="009E7EF6" w:rsidRPr="003E45EA">
        <w:rPr>
          <w:rFonts w:asciiTheme="majorHAnsi" w:hAnsiTheme="majorHAnsi" w:cstheme="majorHAnsi"/>
        </w:rPr>
        <w:t>he US</w:t>
      </w:r>
      <w:r w:rsidR="00E51A06" w:rsidRPr="003E45EA">
        <w:rPr>
          <w:rFonts w:asciiTheme="majorHAnsi" w:hAnsiTheme="majorHAnsi" w:cstheme="majorHAnsi"/>
        </w:rPr>
        <w:t xml:space="preserve"> posted </w:t>
      </w:r>
      <w:r w:rsidR="00184AC2" w:rsidRPr="003E45EA">
        <w:rPr>
          <w:rFonts w:asciiTheme="majorHAnsi" w:hAnsiTheme="majorHAnsi" w:cstheme="majorHAnsi"/>
        </w:rPr>
        <w:t>returns</w:t>
      </w:r>
      <w:r w:rsidRPr="003E45EA">
        <w:rPr>
          <w:rFonts w:asciiTheme="majorHAnsi" w:hAnsiTheme="majorHAnsi" w:cstheme="majorHAnsi"/>
        </w:rPr>
        <w:t xml:space="preserve"> </w:t>
      </w:r>
      <w:r w:rsidR="00E51A06" w:rsidRPr="003E45EA">
        <w:rPr>
          <w:rFonts w:asciiTheme="majorHAnsi" w:hAnsiTheme="majorHAnsi" w:cstheme="majorHAnsi"/>
        </w:rPr>
        <w:t>of</w:t>
      </w:r>
      <w:r w:rsidR="009E7EF6" w:rsidRPr="003E45EA">
        <w:rPr>
          <w:rFonts w:asciiTheme="majorHAnsi" w:hAnsiTheme="majorHAnsi" w:cstheme="majorHAnsi"/>
        </w:rPr>
        <w:t xml:space="preserve"> (</w:t>
      </w:r>
      <w:r w:rsidR="000751E0" w:rsidRPr="003E45EA">
        <w:rPr>
          <w:rFonts w:asciiTheme="majorHAnsi" w:hAnsiTheme="majorHAnsi" w:cstheme="majorHAnsi"/>
        </w:rPr>
        <w:t>+</w:t>
      </w:r>
      <w:r w:rsidR="00C63B24">
        <w:rPr>
          <w:rFonts w:asciiTheme="majorHAnsi" w:hAnsiTheme="majorHAnsi" w:cstheme="majorHAnsi"/>
        </w:rPr>
        <w:t>0.37</w:t>
      </w:r>
      <w:r w:rsidR="009E7EF6" w:rsidRPr="003E45EA">
        <w:rPr>
          <w:rFonts w:asciiTheme="majorHAnsi" w:hAnsiTheme="majorHAnsi" w:cstheme="majorHAnsi"/>
        </w:rPr>
        <w:t>%)</w:t>
      </w:r>
      <w:r w:rsidR="00E51A06" w:rsidRPr="003E45EA">
        <w:rPr>
          <w:rFonts w:asciiTheme="majorHAnsi" w:hAnsiTheme="majorHAnsi" w:cstheme="majorHAnsi"/>
        </w:rPr>
        <w:t xml:space="preserve">, </w:t>
      </w:r>
      <w:r w:rsidR="009E7EF6" w:rsidRPr="003E45EA">
        <w:rPr>
          <w:rFonts w:asciiTheme="majorHAnsi" w:hAnsiTheme="majorHAnsi" w:cstheme="majorHAnsi"/>
        </w:rPr>
        <w:t>Asia ex Japan (</w:t>
      </w:r>
      <w:r w:rsidR="00C63B24">
        <w:rPr>
          <w:rFonts w:asciiTheme="majorHAnsi" w:hAnsiTheme="majorHAnsi" w:cstheme="majorHAnsi"/>
        </w:rPr>
        <w:t>-0</w:t>
      </w:r>
      <w:r w:rsidR="00B511B4">
        <w:rPr>
          <w:rFonts w:asciiTheme="majorHAnsi" w:hAnsiTheme="majorHAnsi" w:cstheme="majorHAnsi"/>
        </w:rPr>
        <w:t>.0</w:t>
      </w:r>
      <w:r w:rsidR="00C63B24">
        <w:rPr>
          <w:rFonts w:asciiTheme="majorHAnsi" w:hAnsiTheme="majorHAnsi" w:cstheme="majorHAnsi"/>
        </w:rPr>
        <w:t>3</w:t>
      </w:r>
      <w:r w:rsidR="009E7EF6" w:rsidRPr="003E45EA">
        <w:rPr>
          <w:rFonts w:asciiTheme="majorHAnsi" w:hAnsiTheme="majorHAnsi" w:cstheme="majorHAnsi"/>
        </w:rPr>
        <w:t>%)</w:t>
      </w:r>
      <w:r w:rsidR="00E51A06" w:rsidRPr="003E45EA">
        <w:rPr>
          <w:rFonts w:asciiTheme="majorHAnsi" w:hAnsiTheme="majorHAnsi" w:cstheme="majorHAnsi"/>
        </w:rPr>
        <w:t>,</w:t>
      </w:r>
      <w:r w:rsidR="009E7EF6" w:rsidRPr="003E45EA">
        <w:rPr>
          <w:rFonts w:asciiTheme="majorHAnsi" w:hAnsiTheme="majorHAnsi" w:cstheme="majorHAnsi"/>
        </w:rPr>
        <w:t xml:space="preserve"> Japan (</w:t>
      </w:r>
      <w:r w:rsidR="00B511B4">
        <w:rPr>
          <w:rFonts w:asciiTheme="majorHAnsi" w:hAnsiTheme="majorHAnsi" w:cstheme="majorHAnsi"/>
        </w:rPr>
        <w:t>+</w:t>
      </w:r>
      <w:r w:rsidR="00EF035A">
        <w:rPr>
          <w:rFonts w:asciiTheme="majorHAnsi" w:hAnsiTheme="majorHAnsi" w:cstheme="majorHAnsi"/>
        </w:rPr>
        <w:t>0.</w:t>
      </w:r>
      <w:r w:rsidR="00B511B4">
        <w:rPr>
          <w:rFonts w:asciiTheme="majorHAnsi" w:hAnsiTheme="majorHAnsi" w:cstheme="majorHAnsi"/>
        </w:rPr>
        <w:t>3</w:t>
      </w:r>
      <w:r w:rsidR="00EF035A">
        <w:rPr>
          <w:rFonts w:asciiTheme="majorHAnsi" w:hAnsiTheme="majorHAnsi" w:cstheme="majorHAnsi"/>
        </w:rPr>
        <w:t>0</w:t>
      </w:r>
      <w:r w:rsidR="009E7EF6" w:rsidRPr="003E45EA">
        <w:rPr>
          <w:rFonts w:asciiTheme="majorHAnsi" w:hAnsiTheme="majorHAnsi" w:cstheme="majorHAnsi"/>
        </w:rPr>
        <w:t>%)</w:t>
      </w:r>
      <w:r w:rsidR="00E51A06" w:rsidRPr="003E45EA">
        <w:rPr>
          <w:rFonts w:asciiTheme="majorHAnsi" w:hAnsiTheme="majorHAnsi" w:cstheme="majorHAnsi"/>
        </w:rPr>
        <w:t>,</w:t>
      </w:r>
      <w:r w:rsidR="009E7EF6" w:rsidRPr="003E45EA">
        <w:rPr>
          <w:rFonts w:asciiTheme="majorHAnsi" w:hAnsiTheme="majorHAnsi" w:cstheme="majorHAnsi"/>
        </w:rPr>
        <w:t xml:space="preserve"> the UK (</w:t>
      </w:r>
      <w:r w:rsidR="00B511B4">
        <w:rPr>
          <w:rFonts w:asciiTheme="majorHAnsi" w:hAnsiTheme="majorHAnsi" w:cstheme="majorHAnsi"/>
        </w:rPr>
        <w:t>+</w:t>
      </w:r>
      <w:r w:rsidR="00C63B24">
        <w:rPr>
          <w:rFonts w:asciiTheme="majorHAnsi" w:hAnsiTheme="majorHAnsi" w:cstheme="majorHAnsi"/>
        </w:rPr>
        <w:t>1.98</w:t>
      </w:r>
      <w:r w:rsidR="00E51A06" w:rsidRPr="003E45EA">
        <w:rPr>
          <w:rFonts w:asciiTheme="majorHAnsi" w:hAnsiTheme="majorHAnsi" w:cstheme="majorHAnsi"/>
        </w:rPr>
        <w:t>,</w:t>
      </w:r>
      <w:r w:rsidR="009E7EF6" w:rsidRPr="003E45EA">
        <w:rPr>
          <w:rFonts w:asciiTheme="majorHAnsi" w:hAnsiTheme="majorHAnsi" w:cstheme="majorHAnsi"/>
        </w:rPr>
        <w:t xml:space="preserve"> Europe</w:t>
      </w:r>
      <w:r w:rsidR="00776C10" w:rsidRPr="003E45EA">
        <w:rPr>
          <w:rFonts w:asciiTheme="majorHAnsi" w:hAnsiTheme="majorHAnsi" w:cstheme="majorHAnsi"/>
        </w:rPr>
        <w:t xml:space="preserve"> </w:t>
      </w:r>
      <w:r w:rsidR="00B511B4">
        <w:rPr>
          <w:rFonts w:asciiTheme="majorHAnsi" w:hAnsiTheme="majorHAnsi" w:cstheme="majorHAnsi"/>
        </w:rPr>
        <w:t xml:space="preserve">flat </w:t>
      </w:r>
      <w:r w:rsidR="00E51A06" w:rsidRPr="003E45EA">
        <w:rPr>
          <w:rFonts w:asciiTheme="majorHAnsi" w:hAnsiTheme="majorHAnsi" w:cstheme="majorHAnsi"/>
        </w:rPr>
        <w:t>(</w:t>
      </w:r>
      <w:r w:rsidR="002B74FE" w:rsidRPr="003E45EA">
        <w:rPr>
          <w:rFonts w:asciiTheme="majorHAnsi" w:hAnsiTheme="majorHAnsi" w:cstheme="majorHAnsi"/>
        </w:rPr>
        <w:t>+</w:t>
      </w:r>
      <w:r w:rsidR="000732D1">
        <w:rPr>
          <w:rFonts w:asciiTheme="majorHAnsi" w:hAnsiTheme="majorHAnsi" w:cstheme="majorHAnsi"/>
        </w:rPr>
        <w:t>1.77</w:t>
      </w:r>
      <w:r w:rsidR="005909DA" w:rsidRPr="003E45EA">
        <w:rPr>
          <w:rFonts w:asciiTheme="majorHAnsi" w:hAnsiTheme="majorHAnsi" w:cstheme="majorHAnsi"/>
        </w:rPr>
        <w:t>%</w:t>
      </w:r>
      <w:r w:rsidR="00E51A06" w:rsidRPr="003E45EA">
        <w:rPr>
          <w:rFonts w:asciiTheme="majorHAnsi" w:hAnsiTheme="majorHAnsi" w:cstheme="majorHAnsi"/>
        </w:rPr>
        <w:t xml:space="preserve">) </w:t>
      </w:r>
      <w:r w:rsidR="00776C10" w:rsidRPr="003E45EA">
        <w:rPr>
          <w:rFonts w:asciiTheme="majorHAnsi" w:hAnsiTheme="majorHAnsi" w:cstheme="majorHAnsi"/>
        </w:rPr>
        <w:t>and</w:t>
      </w:r>
      <w:r w:rsidR="009E7EF6" w:rsidRPr="003E45EA">
        <w:rPr>
          <w:rFonts w:asciiTheme="majorHAnsi" w:hAnsiTheme="majorHAnsi" w:cstheme="majorHAnsi"/>
        </w:rPr>
        <w:t xml:space="preserve"> </w:t>
      </w:r>
      <w:r w:rsidR="00776C10" w:rsidRPr="003E45EA">
        <w:rPr>
          <w:rFonts w:asciiTheme="majorHAnsi" w:hAnsiTheme="majorHAnsi" w:cstheme="majorHAnsi"/>
        </w:rPr>
        <w:t>the Emerging Markets</w:t>
      </w:r>
      <w:r w:rsidR="00E51A06" w:rsidRPr="003E45EA">
        <w:rPr>
          <w:rFonts w:asciiTheme="majorHAnsi" w:hAnsiTheme="majorHAnsi" w:cstheme="majorHAnsi"/>
        </w:rPr>
        <w:t xml:space="preserve"> (</w:t>
      </w:r>
      <w:r w:rsidR="000732D1">
        <w:rPr>
          <w:rFonts w:asciiTheme="majorHAnsi" w:hAnsiTheme="majorHAnsi" w:cstheme="majorHAnsi"/>
        </w:rPr>
        <w:t>-0.18</w:t>
      </w:r>
      <w:r w:rsidR="005909DA" w:rsidRPr="003E45EA">
        <w:rPr>
          <w:rFonts w:asciiTheme="majorHAnsi" w:hAnsiTheme="majorHAnsi" w:cstheme="majorHAnsi"/>
        </w:rPr>
        <w:t>%</w:t>
      </w:r>
      <w:r w:rsidR="00E51A06" w:rsidRPr="003E45EA">
        <w:rPr>
          <w:rFonts w:asciiTheme="majorHAnsi" w:hAnsiTheme="majorHAnsi" w:cstheme="majorHAnsi"/>
        </w:rPr>
        <w:t>)</w:t>
      </w:r>
      <w:r w:rsidR="009E7EF6" w:rsidRPr="003E45EA">
        <w:rPr>
          <w:rFonts w:asciiTheme="majorHAnsi" w:hAnsiTheme="majorHAnsi" w:cstheme="majorHAnsi"/>
        </w:rPr>
        <w:t xml:space="preserve">. </w:t>
      </w:r>
    </w:p>
    <w:p w14:paraId="5BD2B4D9" w14:textId="5A35E1D4" w:rsidR="00802B2D" w:rsidRPr="003E45EA" w:rsidRDefault="00802B2D" w:rsidP="00802B2D">
      <w:pPr>
        <w:rPr>
          <w:rFonts w:asciiTheme="majorHAnsi" w:hAnsiTheme="majorHAnsi" w:cstheme="majorHAnsi"/>
          <w:b/>
          <w:bCs/>
        </w:rPr>
      </w:pPr>
      <w:r w:rsidRPr="003E45EA">
        <w:rPr>
          <w:rFonts w:asciiTheme="majorHAnsi" w:hAnsiTheme="majorHAnsi" w:cstheme="majorHAnsi"/>
          <w:b/>
          <w:bCs/>
        </w:rPr>
        <w:t>Australian Shares</w:t>
      </w:r>
    </w:p>
    <w:p w14:paraId="43C32AE9" w14:textId="7D5C7EFD" w:rsidR="00752610" w:rsidRPr="003E45EA" w:rsidRDefault="00802B2D" w:rsidP="00080677">
      <w:pPr>
        <w:rPr>
          <w:rFonts w:asciiTheme="majorHAnsi" w:hAnsiTheme="majorHAnsi" w:cstheme="majorHAnsi"/>
        </w:rPr>
      </w:pPr>
      <w:r w:rsidRPr="003E45EA">
        <w:rPr>
          <w:rFonts w:asciiTheme="majorHAnsi" w:hAnsiTheme="majorHAnsi" w:cstheme="majorHAnsi"/>
        </w:rPr>
        <w:t xml:space="preserve">Australian </w:t>
      </w:r>
      <w:r w:rsidR="00D019FE" w:rsidRPr="003E45EA">
        <w:rPr>
          <w:rFonts w:asciiTheme="majorHAnsi" w:hAnsiTheme="majorHAnsi" w:cstheme="majorHAnsi"/>
        </w:rPr>
        <w:t xml:space="preserve">shares </w:t>
      </w:r>
      <w:r w:rsidR="00317447" w:rsidRPr="003E45EA">
        <w:rPr>
          <w:rFonts w:asciiTheme="majorHAnsi" w:hAnsiTheme="majorHAnsi" w:cstheme="majorHAnsi"/>
        </w:rPr>
        <w:t xml:space="preserve">posted </w:t>
      </w:r>
      <w:r w:rsidR="00487070">
        <w:rPr>
          <w:rFonts w:asciiTheme="majorHAnsi" w:hAnsiTheme="majorHAnsi" w:cstheme="majorHAnsi"/>
        </w:rPr>
        <w:t>positive</w:t>
      </w:r>
      <w:r w:rsidR="009D2BC7" w:rsidRPr="003E45EA">
        <w:rPr>
          <w:rFonts w:asciiTheme="majorHAnsi" w:hAnsiTheme="majorHAnsi" w:cstheme="majorHAnsi"/>
        </w:rPr>
        <w:t xml:space="preserve"> returns </w:t>
      </w:r>
      <w:r w:rsidR="00DA2BBC" w:rsidRPr="003E45EA">
        <w:rPr>
          <w:rFonts w:asciiTheme="majorHAnsi" w:hAnsiTheme="majorHAnsi" w:cstheme="majorHAnsi"/>
        </w:rPr>
        <w:t xml:space="preserve">reflecting the </w:t>
      </w:r>
      <w:r w:rsidR="005B45E9" w:rsidRPr="003E45EA">
        <w:rPr>
          <w:rFonts w:asciiTheme="majorHAnsi" w:hAnsiTheme="majorHAnsi" w:cstheme="majorHAnsi"/>
        </w:rPr>
        <w:t>global</w:t>
      </w:r>
      <w:r w:rsidR="00B755CF" w:rsidRPr="003E45EA">
        <w:rPr>
          <w:rFonts w:asciiTheme="majorHAnsi" w:hAnsiTheme="majorHAnsi" w:cstheme="majorHAnsi"/>
        </w:rPr>
        <w:t xml:space="preserve"> </w:t>
      </w:r>
      <w:r w:rsidR="00BB456F" w:rsidRPr="003E45EA">
        <w:rPr>
          <w:rFonts w:asciiTheme="majorHAnsi" w:hAnsiTheme="majorHAnsi" w:cstheme="majorHAnsi"/>
        </w:rPr>
        <w:t>market</w:t>
      </w:r>
      <w:r w:rsidR="00B755CF" w:rsidRPr="003E45EA">
        <w:rPr>
          <w:rFonts w:asciiTheme="majorHAnsi" w:hAnsiTheme="majorHAnsi" w:cstheme="majorHAnsi"/>
        </w:rPr>
        <w:t xml:space="preserve">s </w:t>
      </w:r>
      <w:r w:rsidR="005B45E9" w:rsidRPr="003E45EA">
        <w:rPr>
          <w:rFonts w:asciiTheme="majorHAnsi" w:hAnsiTheme="majorHAnsi" w:cstheme="majorHAnsi"/>
        </w:rPr>
        <w:t xml:space="preserve">trend </w:t>
      </w:r>
      <w:r w:rsidR="00EC7016" w:rsidRPr="003E45EA">
        <w:rPr>
          <w:rFonts w:asciiTheme="majorHAnsi" w:hAnsiTheme="majorHAnsi" w:cstheme="majorHAnsi"/>
        </w:rPr>
        <w:t xml:space="preserve">post the </w:t>
      </w:r>
      <w:r w:rsidR="005B45E9" w:rsidRPr="003E45EA">
        <w:rPr>
          <w:rFonts w:asciiTheme="majorHAnsi" w:hAnsiTheme="majorHAnsi" w:cstheme="majorHAnsi"/>
        </w:rPr>
        <w:t xml:space="preserve">tariff </w:t>
      </w:r>
      <w:r w:rsidR="002D285D" w:rsidRPr="003E45EA">
        <w:rPr>
          <w:rFonts w:asciiTheme="majorHAnsi" w:hAnsiTheme="majorHAnsi" w:cstheme="majorHAnsi"/>
        </w:rPr>
        <w:t>impact</w:t>
      </w:r>
      <w:r w:rsidR="005B45E9" w:rsidRPr="003E45EA">
        <w:rPr>
          <w:rFonts w:asciiTheme="majorHAnsi" w:hAnsiTheme="majorHAnsi" w:cstheme="majorHAnsi"/>
        </w:rPr>
        <w:t xml:space="preserve">. </w:t>
      </w:r>
      <w:r w:rsidR="009D26B6" w:rsidRPr="003E45EA">
        <w:rPr>
          <w:rFonts w:asciiTheme="majorHAnsi" w:hAnsiTheme="majorHAnsi" w:cstheme="majorHAnsi"/>
        </w:rPr>
        <w:t>Sh</w:t>
      </w:r>
      <w:r w:rsidR="00965252" w:rsidRPr="003E45EA">
        <w:rPr>
          <w:rFonts w:asciiTheme="majorHAnsi" w:hAnsiTheme="majorHAnsi" w:cstheme="majorHAnsi"/>
        </w:rPr>
        <w:t xml:space="preserve">ares </w:t>
      </w:r>
      <w:r w:rsidR="00EF6467" w:rsidRPr="003E45EA">
        <w:rPr>
          <w:rFonts w:asciiTheme="majorHAnsi" w:hAnsiTheme="majorHAnsi" w:cstheme="majorHAnsi"/>
        </w:rPr>
        <w:t>finished</w:t>
      </w:r>
      <w:r w:rsidR="009D26B6" w:rsidRPr="003E45EA">
        <w:rPr>
          <w:rFonts w:asciiTheme="majorHAnsi" w:hAnsiTheme="majorHAnsi" w:cstheme="majorHAnsi"/>
        </w:rPr>
        <w:t xml:space="preserve"> </w:t>
      </w:r>
      <w:r w:rsidR="000E3566" w:rsidRPr="003E45EA">
        <w:rPr>
          <w:rFonts w:asciiTheme="majorHAnsi" w:hAnsiTheme="majorHAnsi" w:cstheme="majorHAnsi"/>
        </w:rPr>
        <w:t>(</w:t>
      </w:r>
      <w:r w:rsidR="00EC7016" w:rsidRPr="003E45EA">
        <w:rPr>
          <w:rFonts w:asciiTheme="majorHAnsi" w:hAnsiTheme="majorHAnsi" w:cstheme="majorHAnsi"/>
        </w:rPr>
        <w:t>+</w:t>
      </w:r>
      <w:r w:rsidR="001A23BB">
        <w:rPr>
          <w:rFonts w:asciiTheme="majorHAnsi" w:hAnsiTheme="majorHAnsi" w:cstheme="majorHAnsi"/>
        </w:rPr>
        <w:t>3.10%)</w:t>
      </w:r>
      <w:r w:rsidR="0089710F" w:rsidRPr="003E45EA">
        <w:rPr>
          <w:rFonts w:asciiTheme="majorHAnsi" w:hAnsiTheme="majorHAnsi" w:cstheme="majorHAnsi"/>
        </w:rPr>
        <w:t>and (</w:t>
      </w:r>
      <w:r w:rsidR="00EC7016" w:rsidRPr="003E45EA">
        <w:rPr>
          <w:rFonts w:asciiTheme="majorHAnsi" w:hAnsiTheme="majorHAnsi" w:cstheme="majorHAnsi"/>
        </w:rPr>
        <w:t>+</w:t>
      </w:r>
      <w:r w:rsidR="00802DB6">
        <w:rPr>
          <w:rFonts w:asciiTheme="majorHAnsi" w:hAnsiTheme="majorHAnsi" w:cstheme="majorHAnsi"/>
        </w:rPr>
        <w:t>7.02</w:t>
      </w:r>
      <w:r w:rsidR="0089710F" w:rsidRPr="003E45EA">
        <w:rPr>
          <w:rFonts w:asciiTheme="majorHAnsi" w:hAnsiTheme="majorHAnsi" w:cstheme="majorHAnsi"/>
        </w:rPr>
        <w:t>%) over the last three months</w:t>
      </w:r>
      <w:r w:rsidR="00992554" w:rsidRPr="003E45EA">
        <w:rPr>
          <w:rFonts w:asciiTheme="majorHAnsi" w:hAnsiTheme="majorHAnsi" w:cstheme="majorHAnsi"/>
        </w:rPr>
        <w:t>.</w:t>
      </w:r>
      <w:r w:rsidR="000E3566" w:rsidRPr="003E45EA">
        <w:rPr>
          <w:rFonts w:asciiTheme="majorHAnsi" w:hAnsiTheme="majorHAnsi" w:cstheme="majorHAnsi"/>
        </w:rPr>
        <w:t xml:space="preserve"> </w:t>
      </w:r>
    </w:p>
    <w:p w14:paraId="41F529C9" w14:textId="2D617337" w:rsidR="00AF697A" w:rsidRPr="003E45EA" w:rsidRDefault="0089710F" w:rsidP="00AF697A">
      <w:pPr>
        <w:rPr>
          <w:rFonts w:asciiTheme="majorHAnsi" w:hAnsiTheme="majorHAnsi" w:cstheme="majorHAnsi"/>
        </w:rPr>
      </w:pPr>
      <w:r w:rsidRPr="003E45EA">
        <w:rPr>
          <w:rFonts w:asciiTheme="majorHAnsi" w:hAnsiTheme="majorHAnsi" w:cstheme="majorHAnsi"/>
        </w:rPr>
        <w:t>C</w:t>
      </w:r>
      <w:r w:rsidR="00E05A34" w:rsidRPr="003E45EA">
        <w:rPr>
          <w:rFonts w:asciiTheme="majorHAnsi" w:hAnsiTheme="majorHAnsi" w:cstheme="majorHAnsi"/>
        </w:rPr>
        <w:t>om</w:t>
      </w:r>
      <w:r w:rsidR="009E7EF6" w:rsidRPr="003E45EA">
        <w:rPr>
          <w:rFonts w:asciiTheme="majorHAnsi" w:hAnsiTheme="majorHAnsi" w:cstheme="majorHAnsi"/>
        </w:rPr>
        <w:t xml:space="preserve">modity markets </w:t>
      </w:r>
      <w:r w:rsidR="00457450" w:rsidRPr="003E45EA">
        <w:rPr>
          <w:rFonts w:asciiTheme="majorHAnsi" w:hAnsiTheme="majorHAnsi" w:cstheme="majorHAnsi"/>
        </w:rPr>
        <w:t>ended</w:t>
      </w:r>
      <w:r w:rsidR="00E32E30" w:rsidRPr="003E45EA">
        <w:rPr>
          <w:rFonts w:asciiTheme="majorHAnsi" w:hAnsiTheme="majorHAnsi" w:cstheme="majorHAnsi"/>
        </w:rPr>
        <w:t xml:space="preserve"> </w:t>
      </w:r>
      <w:r w:rsidR="00155237">
        <w:rPr>
          <w:rFonts w:asciiTheme="majorHAnsi" w:hAnsiTheme="majorHAnsi" w:cstheme="majorHAnsi"/>
        </w:rPr>
        <w:t>higher</w:t>
      </w:r>
      <w:r w:rsidR="00FC5F13" w:rsidRPr="003E45EA">
        <w:rPr>
          <w:rFonts w:asciiTheme="majorHAnsi" w:hAnsiTheme="majorHAnsi" w:cstheme="majorHAnsi"/>
        </w:rPr>
        <w:t xml:space="preserve"> </w:t>
      </w:r>
      <w:r w:rsidR="0056303E" w:rsidRPr="003E45EA">
        <w:rPr>
          <w:rFonts w:asciiTheme="majorHAnsi" w:hAnsiTheme="majorHAnsi" w:cstheme="majorHAnsi"/>
        </w:rPr>
        <w:t xml:space="preserve">with </w:t>
      </w:r>
      <w:r w:rsidR="009E7EF6" w:rsidRPr="003E45EA">
        <w:rPr>
          <w:rFonts w:asciiTheme="majorHAnsi" w:hAnsiTheme="majorHAnsi" w:cstheme="majorHAnsi"/>
        </w:rPr>
        <w:t>Iron Ore clos</w:t>
      </w:r>
      <w:r w:rsidR="00040E36" w:rsidRPr="003E45EA">
        <w:rPr>
          <w:rFonts w:asciiTheme="majorHAnsi" w:hAnsiTheme="majorHAnsi" w:cstheme="majorHAnsi"/>
        </w:rPr>
        <w:t>ing</w:t>
      </w:r>
      <w:r w:rsidR="009E7EF6" w:rsidRPr="003E45EA">
        <w:rPr>
          <w:rFonts w:asciiTheme="majorHAnsi" w:hAnsiTheme="majorHAnsi" w:cstheme="majorHAnsi"/>
        </w:rPr>
        <w:t xml:space="preserve"> at US$</w:t>
      </w:r>
      <w:r w:rsidR="00802DB6">
        <w:rPr>
          <w:rFonts w:asciiTheme="majorHAnsi" w:hAnsiTheme="majorHAnsi" w:cstheme="majorHAnsi"/>
        </w:rPr>
        <w:t>101.82</w:t>
      </w:r>
      <w:r w:rsidR="009E7EF6" w:rsidRPr="003E45EA">
        <w:rPr>
          <w:rFonts w:asciiTheme="majorHAnsi" w:hAnsiTheme="majorHAnsi" w:cstheme="majorHAnsi"/>
        </w:rPr>
        <w:t xml:space="preserve"> </w:t>
      </w:r>
      <w:r w:rsidR="006D3802" w:rsidRPr="003E45EA">
        <w:rPr>
          <w:rFonts w:asciiTheme="majorHAnsi" w:hAnsiTheme="majorHAnsi" w:cstheme="majorHAnsi"/>
        </w:rPr>
        <w:t xml:space="preserve">per tonne </w:t>
      </w:r>
      <w:r w:rsidR="00910A84" w:rsidRPr="003E45EA">
        <w:rPr>
          <w:rFonts w:asciiTheme="majorHAnsi" w:hAnsiTheme="majorHAnsi" w:cstheme="majorHAnsi"/>
        </w:rPr>
        <w:t xml:space="preserve">at the end of </w:t>
      </w:r>
      <w:r w:rsidR="00802DB6">
        <w:rPr>
          <w:rFonts w:asciiTheme="majorHAnsi" w:hAnsiTheme="majorHAnsi" w:cstheme="majorHAnsi"/>
        </w:rPr>
        <w:t>August</w:t>
      </w:r>
      <w:r w:rsidR="00AA627D" w:rsidRPr="003E45EA">
        <w:rPr>
          <w:rFonts w:asciiTheme="majorHAnsi" w:hAnsiTheme="majorHAnsi" w:cstheme="majorHAnsi"/>
        </w:rPr>
        <w:t xml:space="preserve"> 202</w:t>
      </w:r>
      <w:r w:rsidR="00B755CF" w:rsidRPr="003E45EA">
        <w:rPr>
          <w:rFonts w:asciiTheme="majorHAnsi" w:hAnsiTheme="majorHAnsi" w:cstheme="majorHAnsi"/>
        </w:rPr>
        <w:t>5</w:t>
      </w:r>
      <w:r w:rsidR="00910A84" w:rsidRPr="003E45EA">
        <w:rPr>
          <w:rFonts w:asciiTheme="majorHAnsi" w:hAnsiTheme="majorHAnsi" w:cstheme="majorHAnsi"/>
        </w:rPr>
        <w:t xml:space="preserve"> </w:t>
      </w:r>
      <w:r w:rsidR="00A85A05" w:rsidRPr="003E45EA">
        <w:rPr>
          <w:rFonts w:asciiTheme="majorHAnsi" w:hAnsiTheme="majorHAnsi" w:cstheme="majorHAnsi"/>
        </w:rPr>
        <w:t xml:space="preserve">with </w:t>
      </w:r>
      <w:r w:rsidR="00910A84" w:rsidRPr="003E45EA">
        <w:rPr>
          <w:rFonts w:asciiTheme="majorHAnsi" w:hAnsiTheme="majorHAnsi" w:cstheme="majorHAnsi"/>
        </w:rPr>
        <w:t xml:space="preserve">a </w:t>
      </w:r>
      <w:r w:rsidR="00A85A05" w:rsidRPr="003E45EA">
        <w:rPr>
          <w:rFonts w:asciiTheme="majorHAnsi" w:hAnsiTheme="majorHAnsi" w:cstheme="majorHAnsi"/>
        </w:rPr>
        <w:t xml:space="preserve">monthly </w:t>
      </w:r>
      <w:r w:rsidR="00155237">
        <w:rPr>
          <w:rFonts w:asciiTheme="majorHAnsi" w:hAnsiTheme="majorHAnsi" w:cstheme="majorHAnsi"/>
        </w:rPr>
        <w:t>gain</w:t>
      </w:r>
      <w:r w:rsidR="00D62349" w:rsidRPr="003E45EA">
        <w:rPr>
          <w:rFonts w:asciiTheme="majorHAnsi" w:hAnsiTheme="majorHAnsi" w:cstheme="majorHAnsi"/>
        </w:rPr>
        <w:t xml:space="preserve"> </w:t>
      </w:r>
      <w:r w:rsidR="00A3027F" w:rsidRPr="003E45EA">
        <w:rPr>
          <w:rFonts w:asciiTheme="majorHAnsi" w:hAnsiTheme="majorHAnsi" w:cstheme="majorHAnsi"/>
        </w:rPr>
        <w:t>of</w:t>
      </w:r>
      <w:r w:rsidR="00A85A05" w:rsidRPr="003E45EA">
        <w:rPr>
          <w:rFonts w:asciiTheme="majorHAnsi" w:hAnsiTheme="majorHAnsi" w:cstheme="majorHAnsi"/>
        </w:rPr>
        <w:t xml:space="preserve"> (</w:t>
      </w:r>
      <w:r w:rsidR="00155237">
        <w:rPr>
          <w:rFonts w:asciiTheme="majorHAnsi" w:hAnsiTheme="majorHAnsi" w:cstheme="majorHAnsi"/>
        </w:rPr>
        <w:t>+2</w:t>
      </w:r>
      <w:r w:rsidR="00802DB6">
        <w:rPr>
          <w:rFonts w:asciiTheme="majorHAnsi" w:hAnsiTheme="majorHAnsi" w:cstheme="majorHAnsi"/>
        </w:rPr>
        <w:t>.71</w:t>
      </w:r>
      <w:r w:rsidR="00A85A05" w:rsidRPr="003E45EA">
        <w:rPr>
          <w:rFonts w:asciiTheme="majorHAnsi" w:hAnsiTheme="majorHAnsi" w:cstheme="majorHAnsi"/>
        </w:rPr>
        <w:t xml:space="preserve">%) </w:t>
      </w:r>
      <w:r w:rsidR="00FC5F13" w:rsidRPr="003E45EA">
        <w:rPr>
          <w:rFonts w:asciiTheme="majorHAnsi" w:hAnsiTheme="majorHAnsi" w:cstheme="majorHAnsi"/>
        </w:rPr>
        <w:t xml:space="preserve">and </w:t>
      </w:r>
      <w:r w:rsidR="00802DB6">
        <w:rPr>
          <w:rFonts w:asciiTheme="majorHAnsi" w:hAnsiTheme="majorHAnsi" w:cstheme="majorHAnsi"/>
        </w:rPr>
        <w:t>gains</w:t>
      </w:r>
      <w:r w:rsidR="002D285D" w:rsidRPr="003E45EA">
        <w:rPr>
          <w:rFonts w:asciiTheme="majorHAnsi" w:hAnsiTheme="majorHAnsi" w:cstheme="majorHAnsi"/>
        </w:rPr>
        <w:t xml:space="preserve"> </w:t>
      </w:r>
      <w:r w:rsidR="00C44EA9" w:rsidRPr="003E45EA">
        <w:rPr>
          <w:rFonts w:asciiTheme="majorHAnsi" w:hAnsiTheme="majorHAnsi" w:cstheme="majorHAnsi"/>
        </w:rPr>
        <w:t xml:space="preserve">of </w:t>
      </w:r>
      <w:r w:rsidR="009E7EF6" w:rsidRPr="003E45EA">
        <w:rPr>
          <w:rFonts w:asciiTheme="majorHAnsi" w:hAnsiTheme="majorHAnsi" w:cstheme="majorHAnsi"/>
        </w:rPr>
        <w:t>(</w:t>
      </w:r>
      <w:r w:rsidR="00802DB6">
        <w:rPr>
          <w:rFonts w:asciiTheme="majorHAnsi" w:hAnsiTheme="majorHAnsi" w:cstheme="majorHAnsi"/>
        </w:rPr>
        <w:t>+2.71</w:t>
      </w:r>
      <w:r w:rsidR="00E95AF9" w:rsidRPr="003E45EA">
        <w:rPr>
          <w:rFonts w:asciiTheme="majorHAnsi" w:hAnsiTheme="majorHAnsi" w:cstheme="majorHAnsi"/>
        </w:rPr>
        <w:t xml:space="preserve">%) </w:t>
      </w:r>
      <w:r w:rsidR="009E7EF6" w:rsidRPr="003E45EA">
        <w:rPr>
          <w:rFonts w:asciiTheme="majorHAnsi" w:hAnsiTheme="majorHAnsi" w:cstheme="majorHAnsi"/>
        </w:rPr>
        <w:t xml:space="preserve">for </w:t>
      </w:r>
      <w:r w:rsidR="0032180A" w:rsidRPr="003E45EA">
        <w:rPr>
          <w:rFonts w:asciiTheme="majorHAnsi" w:hAnsiTheme="majorHAnsi" w:cstheme="majorHAnsi"/>
        </w:rPr>
        <w:t>the previous three months</w:t>
      </w:r>
      <w:r w:rsidR="009E7EF6" w:rsidRPr="003E45EA">
        <w:rPr>
          <w:rFonts w:asciiTheme="majorHAnsi" w:hAnsiTheme="majorHAnsi" w:cstheme="majorHAnsi"/>
        </w:rPr>
        <w:t xml:space="preserve">. </w:t>
      </w:r>
      <w:r w:rsidR="008F7018" w:rsidRPr="003E45EA">
        <w:rPr>
          <w:rFonts w:asciiTheme="majorHAnsi" w:hAnsiTheme="majorHAnsi" w:cstheme="majorHAnsi"/>
        </w:rPr>
        <w:t>Oil (WTI) closed</w:t>
      </w:r>
      <w:r w:rsidR="00E91EC4" w:rsidRPr="003E45EA">
        <w:rPr>
          <w:rFonts w:asciiTheme="majorHAnsi" w:hAnsiTheme="majorHAnsi" w:cstheme="majorHAnsi"/>
        </w:rPr>
        <w:t xml:space="preserve"> </w:t>
      </w:r>
      <w:r w:rsidR="00802DB6">
        <w:rPr>
          <w:rFonts w:asciiTheme="majorHAnsi" w:hAnsiTheme="majorHAnsi" w:cstheme="majorHAnsi"/>
        </w:rPr>
        <w:t>lower</w:t>
      </w:r>
      <w:r w:rsidR="008F7018" w:rsidRPr="003E45EA">
        <w:rPr>
          <w:rFonts w:asciiTheme="majorHAnsi" w:hAnsiTheme="majorHAnsi" w:cstheme="majorHAnsi"/>
        </w:rPr>
        <w:t xml:space="preserve"> at US$</w:t>
      </w:r>
      <w:r w:rsidR="00EC7016" w:rsidRPr="003E45EA">
        <w:rPr>
          <w:rFonts w:asciiTheme="majorHAnsi" w:hAnsiTheme="majorHAnsi" w:cstheme="majorHAnsi"/>
        </w:rPr>
        <w:t>6</w:t>
      </w:r>
      <w:r w:rsidR="00802DB6">
        <w:rPr>
          <w:rFonts w:asciiTheme="majorHAnsi" w:hAnsiTheme="majorHAnsi" w:cstheme="majorHAnsi"/>
        </w:rPr>
        <w:t>3.9</w:t>
      </w:r>
      <w:r w:rsidR="00155237">
        <w:rPr>
          <w:rFonts w:asciiTheme="majorHAnsi" w:hAnsiTheme="majorHAnsi" w:cstheme="majorHAnsi"/>
        </w:rPr>
        <w:t>6</w:t>
      </w:r>
      <w:r w:rsidR="008F7018" w:rsidRPr="003E45EA">
        <w:rPr>
          <w:rFonts w:asciiTheme="majorHAnsi" w:hAnsiTheme="majorHAnsi" w:cstheme="majorHAnsi"/>
        </w:rPr>
        <w:t xml:space="preserve"> a barrel at the end of </w:t>
      </w:r>
      <w:r w:rsidR="00802DB6">
        <w:rPr>
          <w:rFonts w:asciiTheme="majorHAnsi" w:hAnsiTheme="majorHAnsi" w:cstheme="majorHAnsi"/>
        </w:rPr>
        <w:t>August</w:t>
      </w:r>
      <w:r w:rsidR="00AA627D" w:rsidRPr="003E45EA">
        <w:rPr>
          <w:rFonts w:asciiTheme="majorHAnsi" w:hAnsiTheme="majorHAnsi" w:cstheme="majorHAnsi"/>
        </w:rPr>
        <w:t xml:space="preserve"> 202</w:t>
      </w:r>
      <w:r w:rsidR="00B755CF" w:rsidRPr="003E45EA">
        <w:rPr>
          <w:rFonts w:asciiTheme="majorHAnsi" w:hAnsiTheme="majorHAnsi" w:cstheme="majorHAnsi"/>
        </w:rPr>
        <w:t>5</w:t>
      </w:r>
      <w:r w:rsidR="008F7018" w:rsidRPr="003E45EA">
        <w:rPr>
          <w:rFonts w:asciiTheme="majorHAnsi" w:hAnsiTheme="majorHAnsi" w:cstheme="majorHAnsi"/>
        </w:rPr>
        <w:t xml:space="preserve"> resulting in </w:t>
      </w:r>
      <w:r w:rsidR="00802DB6">
        <w:rPr>
          <w:rFonts w:asciiTheme="majorHAnsi" w:hAnsiTheme="majorHAnsi" w:cstheme="majorHAnsi"/>
        </w:rPr>
        <w:t>falls</w:t>
      </w:r>
      <w:r w:rsidR="006C68B8" w:rsidRPr="003E45EA">
        <w:rPr>
          <w:rFonts w:asciiTheme="majorHAnsi" w:hAnsiTheme="majorHAnsi" w:cstheme="majorHAnsi"/>
        </w:rPr>
        <w:t xml:space="preserve"> of</w:t>
      </w:r>
      <w:r w:rsidR="008F7018" w:rsidRPr="003E45EA">
        <w:rPr>
          <w:rFonts w:asciiTheme="majorHAnsi" w:hAnsiTheme="majorHAnsi" w:cstheme="majorHAnsi"/>
        </w:rPr>
        <w:t xml:space="preserve"> (</w:t>
      </w:r>
      <w:r w:rsidR="00802DB6">
        <w:rPr>
          <w:rFonts w:asciiTheme="majorHAnsi" w:hAnsiTheme="majorHAnsi" w:cstheme="majorHAnsi"/>
        </w:rPr>
        <w:t>--7.65</w:t>
      </w:r>
      <w:r w:rsidR="00E77097" w:rsidRPr="003E45EA">
        <w:rPr>
          <w:rFonts w:asciiTheme="majorHAnsi" w:hAnsiTheme="majorHAnsi" w:cstheme="majorHAnsi"/>
        </w:rPr>
        <w:t>%</w:t>
      </w:r>
      <w:r w:rsidR="008F7018" w:rsidRPr="003E45EA">
        <w:rPr>
          <w:rFonts w:asciiTheme="majorHAnsi" w:hAnsiTheme="majorHAnsi" w:cstheme="majorHAnsi"/>
        </w:rPr>
        <w:t xml:space="preserve">) for the month </w:t>
      </w:r>
      <w:r w:rsidR="00107972" w:rsidRPr="003E45EA">
        <w:rPr>
          <w:rFonts w:asciiTheme="majorHAnsi" w:hAnsiTheme="majorHAnsi" w:cstheme="majorHAnsi"/>
        </w:rPr>
        <w:t xml:space="preserve">and </w:t>
      </w:r>
      <w:r w:rsidR="00155237">
        <w:rPr>
          <w:rFonts w:asciiTheme="majorHAnsi" w:hAnsiTheme="majorHAnsi" w:cstheme="majorHAnsi"/>
        </w:rPr>
        <w:t>up</w:t>
      </w:r>
      <w:r w:rsidR="00F93701" w:rsidRPr="003E45EA">
        <w:rPr>
          <w:rFonts w:asciiTheme="majorHAnsi" w:hAnsiTheme="majorHAnsi" w:cstheme="majorHAnsi"/>
        </w:rPr>
        <w:t xml:space="preserve"> </w:t>
      </w:r>
      <w:r w:rsidR="008F7018" w:rsidRPr="003E45EA">
        <w:rPr>
          <w:rFonts w:asciiTheme="majorHAnsi" w:hAnsiTheme="majorHAnsi" w:cstheme="majorHAnsi"/>
        </w:rPr>
        <w:t>(</w:t>
      </w:r>
      <w:r w:rsidR="00155237">
        <w:rPr>
          <w:rFonts w:asciiTheme="majorHAnsi" w:hAnsiTheme="majorHAnsi" w:cstheme="majorHAnsi"/>
        </w:rPr>
        <w:t>+</w:t>
      </w:r>
      <w:r w:rsidR="00802DB6">
        <w:rPr>
          <w:rFonts w:asciiTheme="majorHAnsi" w:hAnsiTheme="majorHAnsi" w:cstheme="majorHAnsi"/>
        </w:rPr>
        <w:t>5.21</w:t>
      </w:r>
      <w:r w:rsidR="00DB1554" w:rsidRPr="003E45EA">
        <w:rPr>
          <w:rFonts w:asciiTheme="majorHAnsi" w:hAnsiTheme="majorHAnsi" w:cstheme="majorHAnsi"/>
        </w:rPr>
        <w:t>%</w:t>
      </w:r>
      <w:r w:rsidR="008F7018" w:rsidRPr="003E45EA">
        <w:rPr>
          <w:rFonts w:asciiTheme="majorHAnsi" w:hAnsiTheme="majorHAnsi" w:cstheme="majorHAnsi"/>
        </w:rPr>
        <w:t xml:space="preserve">) over the </w:t>
      </w:r>
      <w:r w:rsidR="00E65B82" w:rsidRPr="003E45EA">
        <w:rPr>
          <w:rFonts w:asciiTheme="majorHAnsi" w:hAnsiTheme="majorHAnsi" w:cstheme="majorHAnsi"/>
        </w:rPr>
        <w:t xml:space="preserve">last </w:t>
      </w:r>
      <w:r w:rsidR="008F7018" w:rsidRPr="003E45EA">
        <w:rPr>
          <w:rFonts w:asciiTheme="majorHAnsi" w:hAnsiTheme="majorHAnsi" w:cstheme="majorHAnsi"/>
        </w:rPr>
        <w:t xml:space="preserve">three months. China remains our main export market followed by Japan. </w:t>
      </w:r>
    </w:p>
    <w:p w14:paraId="752737CF" w14:textId="77777777" w:rsidR="00D643A4" w:rsidRDefault="00D643A4" w:rsidP="00AF697A">
      <w:pPr>
        <w:rPr>
          <w:rFonts w:asciiTheme="majorHAnsi" w:hAnsiTheme="majorHAnsi" w:cstheme="majorHAnsi"/>
          <w:b/>
          <w:bCs/>
        </w:rPr>
      </w:pPr>
    </w:p>
    <w:p w14:paraId="770FF145" w14:textId="77777777" w:rsidR="00D643A4" w:rsidRDefault="00D643A4" w:rsidP="00AF697A">
      <w:pPr>
        <w:rPr>
          <w:rFonts w:asciiTheme="majorHAnsi" w:hAnsiTheme="majorHAnsi" w:cstheme="majorHAnsi"/>
          <w:b/>
          <w:bCs/>
        </w:rPr>
      </w:pPr>
    </w:p>
    <w:p w14:paraId="79B07404" w14:textId="77777777" w:rsidR="00D643A4" w:rsidRDefault="00D643A4" w:rsidP="00AF697A">
      <w:pPr>
        <w:rPr>
          <w:rFonts w:asciiTheme="majorHAnsi" w:hAnsiTheme="majorHAnsi" w:cstheme="majorHAnsi"/>
          <w:b/>
          <w:bCs/>
        </w:rPr>
      </w:pPr>
    </w:p>
    <w:p w14:paraId="503550C7" w14:textId="77777777" w:rsidR="00D643A4" w:rsidRDefault="00D643A4" w:rsidP="00AF697A">
      <w:pPr>
        <w:rPr>
          <w:rFonts w:asciiTheme="majorHAnsi" w:hAnsiTheme="majorHAnsi" w:cstheme="majorHAnsi"/>
          <w:b/>
          <w:bCs/>
        </w:rPr>
      </w:pPr>
    </w:p>
    <w:p w14:paraId="7BC6B594" w14:textId="015FB87D" w:rsidR="009E7EF6" w:rsidRPr="003E45EA" w:rsidRDefault="009E7EF6" w:rsidP="00AF697A">
      <w:pPr>
        <w:rPr>
          <w:rFonts w:asciiTheme="majorHAnsi" w:hAnsiTheme="majorHAnsi" w:cstheme="majorHAnsi"/>
          <w:b/>
          <w:bCs/>
          <w:iCs/>
        </w:rPr>
      </w:pPr>
      <w:r w:rsidRPr="003E45EA">
        <w:rPr>
          <w:rFonts w:asciiTheme="majorHAnsi" w:hAnsiTheme="majorHAnsi" w:cstheme="majorHAnsi"/>
          <w:b/>
          <w:bCs/>
        </w:rPr>
        <w:lastRenderedPageBreak/>
        <w:t>Australian Industry Returns</w:t>
      </w:r>
      <w:r w:rsidRPr="003E45EA">
        <w:rPr>
          <w:rFonts w:asciiTheme="majorHAnsi" w:hAnsiTheme="majorHAnsi" w:cstheme="majorHAnsi"/>
          <w:b/>
          <w:bCs/>
        </w:rPr>
        <w:tab/>
      </w:r>
    </w:p>
    <w:p w14:paraId="1130FA96" w14:textId="24E5116F" w:rsidR="009E7EF6" w:rsidRPr="003E45EA" w:rsidRDefault="009E7EF6" w:rsidP="009E7EF6">
      <w:pPr>
        <w:spacing w:before="120" w:after="120"/>
        <w:rPr>
          <w:rFonts w:asciiTheme="majorHAnsi" w:hAnsiTheme="majorHAnsi" w:cstheme="majorHAnsi"/>
        </w:rPr>
      </w:pPr>
      <w:r w:rsidRPr="003E45EA">
        <w:rPr>
          <w:rFonts w:asciiTheme="majorHAnsi" w:hAnsiTheme="majorHAnsi" w:cstheme="majorHAnsi"/>
        </w:rPr>
        <w:t xml:space="preserve">Industry sectors </w:t>
      </w:r>
      <w:r w:rsidR="00CF0345" w:rsidRPr="003E45EA">
        <w:rPr>
          <w:rFonts w:asciiTheme="majorHAnsi" w:hAnsiTheme="majorHAnsi" w:cstheme="majorHAnsi"/>
        </w:rPr>
        <w:t>posted</w:t>
      </w:r>
      <w:r w:rsidR="00436EB4" w:rsidRPr="003E45EA">
        <w:rPr>
          <w:rFonts w:asciiTheme="majorHAnsi" w:hAnsiTheme="majorHAnsi" w:cstheme="majorHAnsi"/>
        </w:rPr>
        <w:t xml:space="preserve"> </w:t>
      </w:r>
      <w:r w:rsidR="007E548D" w:rsidRPr="003E45EA">
        <w:rPr>
          <w:rFonts w:asciiTheme="majorHAnsi" w:hAnsiTheme="majorHAnsi" w:cstheme="majorHAnsi"/>
        </w:rPr>
        <w:t>positive</w:t>
      </w:r>
      <w:r w:rsidR="003E66A5" w:rsidRPr="003E45EA">
        <w:rPr>
          <w:rFonts w:asciiTheme="majorHAnsi" w:hAnsiTheme="majorHAnsi" w:cstheme="majorHAnsi"/>
        </w:rPr>
        <w:t xml:space="preserve"> </w:t>
      </w:r>
      <w:r w:rsidR="00CF0345" w:rsidRPr="003E45EA">
        <w:rPr>
          <w:rFonts w:asciiTheme="majorHAnsi" w:hAnsiTheme="majorHAnsi" w:cstheme="majorHAnsi"/>
        </w:rPr>
        <w:t xml:space="preserve">results </w:t>
      </w:r>
      <w:r w:rsidRPr="003E45EA">
        <w:rPr>
          <w:rFonts w:asciiTheme="majorHAnsi" w:hAnsiTheme="majorHAnsi" w:cstheme="majorHAnsi"/>
        </w:rPr>
        <w:t xml:space="preserve">for </w:t>
      </w:r>
      <w:r w:rsidR="00D643A4">
        <w:rPr>
          <w:rFonts w:asciiTheme="majorHAnsi" w:hAnsiTheme="majorHAnsi" w:cstheme="majorHAnsi"/>
        </w:rPr>
        <w:t>June</w:t>
      </w:r>
      <w:r w:rsidR="00AA627D" w:rsidRPr="003E45EA">
        <w:rPr>
          <w:rFonts w:asciiTheme="majorHAnsi" w:hAnsiTheme="majorHAnsi" w:cstheme="majorHAnsi"/>
        </w:rPr>
        <w:t xml:space="preserve"> 202</w:t>
      </w:r>
      <w:r w:rsidR="00224632" w:rsidRPr="003E45EA">
        <w:rPr>
          <w:rFonts w:asciiTheme="majorHAnsi" w:hAnsiTheme="majorHAnsi" w:cstheme="majorHAnsi"/>
        </w:rPr>
        <w:t>5</w:t>
      </w:r>
      <w:r w:rsidR="008855EF" w:rsidRPr="003E45EA">
        <w:rPr>
          <w:rFonts w:asciiTheme="majorHAnsi" w:hAnsiTheme="majorHAnsi" w:cstheme="majorHAnsi"/>
        </w:rPr>
        <w:t>.</w:t>
      </w:r>
      <w:r w:rsidR="00C460B3" w:rsidRPr="003E45EA">
        <w:rPr>
          <w:rFonts w:asciiTheme="majorHAnsi" w:hAnsiTheme="majorHAnsi" w:cstheme="majorHAnsi"/>
        </w:rPr>
        <w:t xml:space="preserve"> </w:t>
      </w:r>
      <w:r w:rsidRPr="003E45EA">
        <w:rPr>
          <w:rFonts w:asciiTheme="majorHAnsi" w:hAnsiTheme="majorHAnsi" w:cstheme="majorHAnsi"/>
        </w:rPr>
        <w:t xml:space="preserve">The </w:t>
      </w:r>
      <w:r w:rsidR="000B4548" w:rsidRPr="003E45EA">
        <w:rPr>
          <w:rFonts w:asciiTheme="majorHAnsi" w:hAnsiTheme="majorHAnsi" w:cstheme="majorHAnsi"/>
        </w:rPr>
        <w:t xml:space="preserve">industry sector </w:t>
      </w:r>
      <w:r w:rsidR="00ED23CC" w:rsidRPr="003E45EA">
        <w:rPr>
          <w:rFonts w:asciiTheme="majorHAnsi" w:hAnsiTheme="majorHAnsi" w:cstheme="majorHAnsi"/>
        </w:rPr>
        <w:t>performance results</w:t>
      </w:r>
      <w:r w:rsidRPr="003E45EA">
        <w:rPr>
          <w:rFonts w:asciiTheme="majorHAnsi" w:hAnsiTheme="majorHAnsi" w:cstheme="majorHAnsi"/>
        </w:rPr>
        <w:t xml:space="preserve"> </w:t>
      </w:r>
      <w:r w:rsidR="00A85A05" w:rsidRPr="003E45EA">
        <w:rPr>
          <w:rFonts w:asciiTheme="majorHAnsi" w:hAnsiTheme="majorHAnsi" w:cstheme="majorHAnsi"/>
        </w:rPr>
        <w:t xml:space="preserve">for the last </w:t>
      </w:r>
      <w:r w:rsidR="00C41573" w:rsidRPr="003E45EA">
        <w:rPr>
          <w:rFonts w:asciiTheme="majorHAnsi" w:hAnsiTheme="majorHAnsi" w:cstheme="majorHAnsi"/>
        </w:rPr>
        <w:t xml:space="preserve">month </w:t>
      </w:r>
      <w:r w:rsidRPr="003E45EA">
        <w:rPr>
          <w:rFonts w:asciiTheme="majorHAnsi" w:hAnsiTheme="majorHAnsi" w:cstheme="majorHAnsi"/>
        </w:rPr>
        <w:t>were</w:t>
      </w:r>
      <w:r w:rsidR="007B7DEB" w:rsidRPr="003E45EA">
        <w:rPr>
          <w:rFonts w:asciiTheme="majorHAnsi" w:hAnsiTheme="majorHAnsi" w:cstheme="majorHAnsi"/>
        </w:rPr>
        <w:t>:</w:t>
      </w:r>
    </w:p>
    <w:p w14:paraId="1744F24C" w14:textId="72B3C883" w:rsidR="00AF697A" w:rsidRPr="003E45EA" w:rsidRDefault="004429E9" w:rsidP="00193344">
      <w:pPr>
        <w:spacing w:before="120" w:after="120"/>
        <w:jc w:val="center"/>
        <w:rPr>
          <w:rFonts w:asciiTheme="majorHAnsi" w:hAnsiTheme="majorHAnsi" w:cstheme="majorHAnsi"/>
        </w:rPr>
      </w:pPr>
      <w:r w:rsidRPr="004429E9">
        <w:rPr>
          <w:rFonts w:asciiTheme="majorHAnsi" w:hAnsiTheme="majorHAnsi" w:cstheme="majorHAnsi"/>
          <w:noProof/>
        </w:rPr>
        <w:drawing>
          <wp:inline distT="0" distB="0" distL="0" distR="0" wp14:anchorId="3CC337B5" wp14:editId="49C70265">
            <wp:extent cx="4019550" cy="3609975"/>
            <wp:effectExtent l="0" t="0" r="0" b="9525"/>
            <wp:docPr id="11963654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9550" cy="3609975"/>
                    </a:xfrm>
                    <a:prstGeom prst="rect">
                      <a:avLst/>
                    </a:prstGeom>
                    <a:noFill/>
                    <a:ln>
                      <a:noFill/>
                    </a:ln>
                  </pic:spPr>
                </pic:pic>
              </a:graphicData>
            </a:graphic>
          </wp:inline>
        </w:drawing>
      </w:r>
    </w:p>
    <w:p w14:paraId="70580A2B" w14:textId="10EF33B4" w:rsidR="00193344" w:rsidRPr="003E45EA" w:rsidRDefault="00193344" w:rsidP="00193344">
      <w:pPr>
        <w:jc w:val="center"/>
        <w:rPr>
          <w:rFonts w:asciiTheme="majorHAnsi" w:hAnsiTheme="majorHAnsi" w:cstheme="majorHAnsi"/>
        </w:rPr>
      </w:pPr>
      <w:r w:rsidRPr="003E45EA">
        <w:rPr>
          <w:rFonts w:asciiTheme="majorHAnsi" w:hAnsiTheme="majorHAnsi" w:cstheme="majorHAnsi"/>
        </w:rPr>
        <w:t xml:space="preserve">Source data: Lonsec as of </w:t>
      </w:r>
      <w:r w:rsidR="007E548D" w:rsidRPr="003E45EA">
        <w:rPr>
          <w:rFonts w:asciiTheme="majorHAnsi" w:hAnsiTheme="majorHAnsi" w:cstheme="majorHAnsi"/>
        </w:rPr>
        <w:t>3</w:t>
      </w:r>
      <w:r w:rsidR="00CB1F16">
        <w:rPr>
          <w:rFonts w:asciiTheme="majorHAnsi" w:hAnsiTheme="majorHAnsi" w:cstheme="majorHAnsi"/>
        </w:rPr>
        <w:t>1</w:t>
      </w:r>
      <w:r w:rsidR="00CB1F16" w:rsidRPr="00CB1F16">
        <w:rPr>
          <w:rFonts w:asciiTheme="majorHAnsi" w:hAnsiTheme="majorHAnsi" w:cstheme="majorHAnsi"/>
          <w:vertAlign w:val="superscript"/>
        </w:rPr>
        <w:t>st</w:t>
      </w:r>
      <w:r w:rsidR="00CB1F16">
        <w:rPr>
          <w:rFonts w:asciiTheme="majorHAnsi" w:hAnsiTheme="majorHAnsi" w:cstheme="majorHAnsi"/>
        </w:rPr>
        <w:t xml:space="preserve"> </w:t>
      </w:r>
      <w:r w:rsidR="004429E9">
        <w:rPr>
          <w:rFonts w:asciiTheme="majorHAnsi" w:hAnsiTheme="majorHAnsi" w:cstheme="majorHAnsi"/>
        </w:rPr>
        <w:t>August 2</w:t>
      </w:r>
      <w:r w:rsidRPr="003E45EA">
        <w:rPr>
          <w:rFonts w:asciiTheme="majorHAnsi" w:hAnsiTheme="majorHAnsi" w:cstheme="majorHAnsi"/>
        </w:rPr>
        <w:t>02</w:t>
      </w:r>
      <w:r w:rsidR="00224632" w:rsidRPr="003E45EA">
        <w:rPr>
          <w:rFonts w:asciiTheme="majorHAnsi" w:hAnsiTheme="majorHAnsi" w:cstheme="majorHAnsi"/>
        </w:rPr>
        <w:t>5</w:t>
      </w:r>
    </w:p>
    <w:p w14:paraId="58FD09A7" w14:textId="086FB963" w:rsidR="009E7EF6" w:rsidRPr="003E45EA" w:rsidRDefault="004429E9" w:rsidP="009E7EF6">
      <w:pPr>
        <w:spacing w:before="120" w:after="120"/>
        <w:rPr>
          <w:rFonts w:asciiTheme="majorHAnsi" w:hAnsiTheme="majorHAnsi" w:cstheme="majorHAnsi"/>
        </w:rPr>
      </w:pPr>
      <w:r>
        <w:rPr>
          <w:rFonts w:asciiTheme="majorHAnsi" w:hAnsiTheme="majorHAnsi" w:cstheme="majorHAnsi"/>
          <w:noProof/>
        </w:rPr>
        <w:t>Materials were</w:t>
      </w:r>
      <w:r w:rsidR="00AF697A" w:rsidRPr="003E45EA">
        <w:rPr>
          <w:rFonts w:asciiTheme="majorHAnsi" w:hAnsiTheme="majorHAnsi" w:cstheme="majorHAnsi"/>
          <w:noProof/>
        </w:rPr>
        <w:t xml:space="preserve"> the </w:t>
      </w:r>
      <w:r w:rsidR="001A3D53" w:rsidRPr="003E45EA">
        <w:rPr>
          <w:rFonts w:asciiTheme="majorHAnsi" w:hAnsiTheme="majorHAnsi" w:cstheme="majorHAnsi"/>
        </w:rPr>
        <w:t>best</w:t>
      </w:r>
      <w:r w:rsidR="00A94C92" w:rsidRPr="003E45EA">
        <w:rPr>
          <w:rFonts w:asciiTheme="majorHAnsi" w:hAnsiTheme="majorHAnsi" w:cstheme="majorHAnsi"/>
        </w:rPr>
        <w:t xml:space="preserve"> </w:t>
      </w:r>
      <w:r w:rsidR="00BF751B" w:rsidRPr="003E45EA">
        <w:rPr>
          <w:rFonts w:asciiTheme="majorHAnsi" w:hAnsiTheme="majorHAnsi" w:cstheme="majorHAnsi"/>
        </w:rPr>
        <w:t xml:space="preserve">performing sector </w:t>
      </w:r>
      <w:r w:rsidR="00A94C92" w:rsidRPr="003E45EA">
        <w:rPr>
          <w:rFonts w:asciiTheme="majorHAnsi" w:hAnsiTheme="majorHAnsi" w:cstheme="majorHAnsi"/>
        </w:rPr>
        <w:t>posting</w:t>
      </w:r>
      <w:r w:rsidR="002720B5" w:rsidRPr="003E45EA">
        <w:rPr>
          <w:rFonts w:asciiTheme="majorHAnsi" w:hAnsiTheme="majorHAnsi" w:cstheme="majorHAnsi"/>
        </w:rPr>
        <w:t xml:space="preserve"> </w:t>
      </w:r>
      <w:r w:rsidR="00D46064" w:rsidRPr="003E45EA">
        <w:rPr>
          <w:rFonts w:asciiTheme="majorHAnsi" w:hAnsiTheme="majorHAnsi" w:cstheme="majorHAnsi"/>
        </w:rPr>
        <w:t>gains</w:t>
      </w:r>
      <w:r w:rsidR="00736488" w:rsidRPr="003E45EA">
        <w:rPr>
          <w:rFonts w:asciiTheme="majorHAnsi" w:hAnsiTheme="majorHAnsi" w:cstheme="majorHAnsi"/>
        </w:rPr>
        <w:t xml:space="preserve"> of </w:t>
      </w:r>
      <w:r w:rsidR="009E7EF6" w:rsidRPr="003E45EA">
        <w:rPr>
          <w:rFonts w:asciiTheme="majorHAnsi" w:hAnsiTheme="majorHAnsi" w:cstheme="majorHAnsi"/>
        </w:rPr>
        <w:t>(</w:t>
      </w:r>
      <w:r w:rsidR="00D46064" w:rsidRPr="003E45EA">
        <w:rPr>
          <w:rFonts w:asciiTheme="majorHAnsi" w:hAnsiTheme="majorHAnsi" w:cstheme="majorHAnsi"/>
        </w:rPr>
        <w:t>+</w:t>
      </w:r>
      <w:r w:rsidR="00D643A4">
        <w:rPr>
          <w:rFonts w:asciiTheme="majorHAnsi" w:hAnsiTheme="majorHAnsi" w:cstheme="majorHAnsi"/>
        </w:rPr>
        <w:t>9.</w:t>
      </w:r>
      <w:r>
        <w:rPr>
          <w:rFonts w:asciiTheme="majorHAnsi" w:hAnsiTheme="majorHAnsi" w:cstheme="majorHAnsi"/>
        </w:rPr>
        <w:t>19</w:t>
      </w:r>
      <w:r w:rsidR="009E7EF6" w:rsidRPr="003E45EA">
        <w:rPr>
          <w:rFonts w:asciiTheme="majorHAnsi" w:hAnsiTheme="majorHAnsi" w:cstheme="majorHAnsi"/>
        </w:rPr>
        <w:t>%)</w:t>
      </w:r>
      <w:r w:rsidR="00757323" w:rsidRPr="003E45EA">
        <w:rPr>
          <w:rFonts w:asciiTheme="majorHAnsi" w:hAnsiTheme="majorHAnsi" w:cstheme="majorHAnsi"/>
        </w:rPr>
        <w:t>.</w:t>
      </w:r>
    </w:p>
    <w:p w14:paraId="1BD9D657" w14:textId="27045E8D" w:rsidR="00BF751B" w:rsidRPr="003E45EA" w:rsidRDefault="004429E9" w:rsidP="00BF751B">
      <w:pPr>
        <w:spacing w:before="120" w:after="120"/>
        <w:rPr>
          <w:rFonts w:asciiTheme="majorHAnsi" w:hAnsiTheme="majorHAnsi" w:cstheme="majorHAnsi"/>
        </w:rPr>
      </w:pPr>
      <w:r>
        <w:rPr>
          <w:rFonts w:asciiTheme="majorHAnsi" w:hAnsiTheme="majorHAnsi" w:cstheme="majorHAnsi"/>
        </w:rPr>
        <w:t>Healthcare</w:t>
      </w:r>
      <w:r w:rsidR="00CB1F16" w:rsidRPr="00CB1F16">
        <w:rPr>
          <w:rFonts w:asciiTheme="majorHAnsi" w:hAnsiTheme="majorHAnsi" w:cstheme="majorHAnsi"/>
        </w:rPr>
        <w:t xml:space="preserve"> </w:t>
      </w:r>
      <w:r w:rsidR="003F6017" w:rsidRPr="003E45EA">
        <w:rPr>
          <w:rFonts w:asciiTheme="majorHAnsi" w:hAnsiTheme="majorHAnsi" w:cstheme="majorHAnsi"/>
        </w:rPr>
        <w:t>w</w:t>
      </w:r>
      <w:r>
        <w:rPr>
          <w:rFonts w:asciiTheme="majorHAnsi" w:hAnsiTheme="majorHAnsi" w:cstheme="majorHAnsi"/>
        </w:rPr>
        <w:t>as</w:t>
      </w:r>
      <w:r w:rsidR="00C041DA" w:rsidRPr="003E45EA">
        <w:rPr>
          <w:rFonts w:asciiTheme="majorHAnsi" w:hAnsiTheme="majorHAnsi" w:cstheme="majorHAnsi"/>
        </w:rPr>
        <w:t xml:space="preserve"> the </w:t>
      </w:r>
      <w:r w:rsidR="006D5106" w:rsidRPr="003E45EA">
        <w:rPr>
          <w:rFonts w:asciiTheme="majorHAnsi" w:hAnsiTheme="majorHAnsi" w:cstheme="majorHAnsi"/>
        </w:rPr>
        <w:t xml:space="preserve">worst performing sector </w:t>
      </w:r>
      <w:r w:rsidR="00B700A9" w:rsidRPr="003E45EA">
        <w:rPr>
          <w:rFonts w:asciiTheme="majorHAnsi" w:hAnsiTheme="majorHAnsi" w:cstheme="majorHAnsi"/>
        </w:rPr>
        <w:t>finishing</w:t>
      </w:r>
      <w:r w:rsidR="0058757B" w:rsidRPr="003E45EA">
        <w:rPr>
          <w:rFonts w:asciiTheme="majorHAnsi" w:hAnsiTheme="majorHAnsi" w:cstheme="majorHAnsi"/>
        </w:rPr>
        <w:t xml:space="preserve"> </w:t>
      </w:r>
      <w:r w:rsidR="00BF751B" w:rsidRPr="003E45EA">
        <w:rPr>
          <w:rFonts w:asciiTheme="majorHAnsi" w:hAnsiTheme="majorHAnsi" w:cstheme="majorHAnsi"/>
        </w:rPr>
        <w:t>(</w:t>
      </w:r>
      <w:r w:rsidR="00D643A4">
        <w:rPr>
          <w:rFonts w:asciiTheme="majorHAnsi" w:hAnsiTheme="majorHAnsi" w:cstheme="majorHAnsi"/>
        </w:rPr>
        <w:t>-</w:t>
      </w:r>
      <w:r w:rsidR="00CB1F16">
        <w:rPr>
          <w:rFonts w:asciiTheme="majorHAnsi" w:hAnsiTheme="majorHAnsi" w:cstheme="majorHAnsi"/>
        </w:rPr>
        <w:t>1</w:t>
      </w:r>
      <w:r>
        <w:rPr>
          <w:rFonts w:asciiTheme="majorHAnsi" w:hAnsiTheme="majorHAnsi" w:cstheme="majorHAnsi"/>
        </w:rPr>
        <w:t>3</w:t>
      </w:r>
      <w:r w:rsidR="00CB1F16">
        <w:rPr>
          <w:rFonts w:asciiTheme="majorHAnsi" w:hAnsiTheme="majorHAnsi" w:cstheme="majorHAnsi"/>
        </w:rPr>
        <w:t>.2</w:t>
      </w:r>
      <w:r>
        <w:rPr>
          <w:rFonts w:asciiTheme="majorHAnsi" w:hAnsiTheme="majorHAnsi" w:cstheme="majorHAnsi"/>
        </w:rPr>
        <w:t>1</w:t>
      </w:r>
      <w:r w:rsidR="00BF751B" w:rsidRPr="003E45EA">
        <w:rPr>
          <w:rFonts w:asciiTheme="majorHAnsi" w:hAnsiTheme="majorHAnsi" w:cstheme="majorHAnsi"/>
        </w:rPr>
        <w:t>%</w:t>
      </w:r>
      <w:r w:rsidR="004A252E" w:rsidRPr="003E45EA">
        <w:rPr>
          <w:rFonts w:asciiTheme="majorHAnsi" w:hAnsiTheme="majorHAnsi" w:cstheme="majorHAnsi"/>
        </w:rPr>
        <w:t>)</w:t>
      </w:r>
      <w:r w:rsidR="00EE6DB0" w:rsidRPr="003E45EA">
        <w:rPr>
          <w:rFonts w:asciiTheme="majorHAnsi" w:hAnsiTheme="majorHAnsi" w:cstheme="majorHAnsi"/>
        </w:rPr>
        <w:t xml:space="preserve"> for the month</w:t>
      </w:r>
      <w:r w:rsidR="00EF3062" w:rsidRPr="003E45EA">
        <w:rPr>
          <w:rFonts w:asciiTheme="majorHAnsi" w:hAnsiTheme="majorHAnsi" w:cstheme="majorHAnsi"/>
        </w:rPr>
        <w:t xml:space="preserve">. </w:t>
      </w:r>
    </w:p>
    <w:p w14:paraId="42C2F3D2" w14:textId="77777777" w:rsidR="00F73A24" w:rsidRPr="003E45EA" w:rsidRDefault="00F73A24" w:rsidP="00BF751B">
      <w:pPr>
        <w:spacing w:before="120" w:after="120"/>
        <w:rPr>
          <w:rFonts w:asciiTheme="majorHAnsi" w:hAnsiTheme="majorHAnsi" w:cstheme="majorHAnsi"/>
        </w:rPr>
      </w:pPr>
    </w:p>
    <w:p w14:paraId="4972E063" w14:textId="77777777" w:rsidR="00F73A24" w:rsidRPr="003E45EA" w:rsidRDefault="00F73A24" w:rsidP="00BF751B">
      <w:pPr>
        <w:spacing w:before="120" w:after="120"/>
        <w:rPr>
          <w:rFonts w:asciiTheme="majorHAnsi" w:hAnsiTheme="majorHAnsi" w:cstheme="majorHAnsi"/>
        </w:rPr>
      </w:pPr>
    </w:p>
    <w:p w14:paraId="1B7662B1" w14:textId="77777777" w:rsidR="007E548D" w:rsidRPr="003E45EA" w:rsidRDefault="007E548D" w:rsidP="00BF751B">
      <w:pPr>
        <w:spacing w:before="120" w:after="120"/>
        <w:rPr>
          <w:rFonts w:asciiTheme="majorHAnsi" w:hAnsiTheme="majorHAnsi" w:cstheme="majorHAnsi"/>
        </w:rPr>
      </w:pPr>
    </w:p>
    <w:p w14:paraId="1851BF73" w14:textId="77777777" w:rsidR="007E548D" w:rsidRPr="003E45EA" w:rsidRDefault="007E548D" w:rsidP="00BF751B">
      <w:pPr>
        <w:spacing w:before="120" w:after="120"/>
        <w:rPr>
          <w:rFonts w:asciiTheme="majorHAnsi" w:hAnsiTheme="majorHAnsi" w:cstheme="majorHAnsi"/>
        </w:rPr>
      </w:pPr>
    </w:p>
    <w:p w14:paraId="59157F9F" w14:textId="77777777" w:rsidR="007E548D" w:rsidRPr="003E45EA" w:rsidRDefault="007E548D" w:rsidP="00BF751B">
      <w:pPr>
        <w:spacing w:before="120" w:after="120"/>
        <w:rPr>
          <w:rFonts w:asciiTheme="majorHAnsi" w:hAnsiTheme="majorHAnsi" w:cstheme="majorHAnsi"/>
        </w:rPr>
      </w:pPr>
    </w:p>
    <w:p w14:paraId="7C3B44EE" w14:textId="77777777" w:rsidR="007E548D" w:rsidRPr="003E45EA" w:rsidRDefault="007E548D" w:rsidP="00BF751B">
      <w:pPr>
        <w:spacing w:before="120" w:after="120"/>
        <w:rPr>
          <w:rFonts w:asciiTheme="majorHAnsi" w:hAnsiTheme="majorHAnsi" w:cstheme="majorHAnsi"/>
        </w:rPr>
      </w:pPr>
    </w:p>
    <w:p w14:paraId="3D8D08EA" w14:textId="77777777" w:rsidR="007E548D" w:rsidRPr="003E45EA" w:rsidRDefault="007E548D" w:rsidP="00BF751B">
      <w:pPr>
        <w:spacing w:before="120" w:after="120"/>
        <w:rPr>
          <w:rFonts w:asciiTheme="majorHAnsi" w:hAnsiTheme="majorHAnsi" w:cstheme="majorHAnsi"/>
        </w:rPr>
      </w:pPr>
    </w:p>
    <w:p w14:paraId="03D7B64B" w14:textId="77777777" w:rsidR="007E548D" w:rsidRPr="003E45EA" w:rsidRDefault="007E548D" w:rsidP="00BF751B">
      <w:pPr>
        <w:spacing w:before="120" w:after="120"/>
        <w:rPr>
          <w:rFonts w:asciiTheme="majorHAnsi" w:hAnsiTheme="majorHAnsi" w:cstheme="majorHAnsi"/>
        </w:rPr>
      </w:pPr>
    </w:p>
    <w:p w14:paraId="5A4ACED6" w14:textId="4C158673" w:rsidR="00F73A24" w:rsidRPr="003E45EA" w:rsidRDefault="00F73A24" w:rsidP="00BF751B">
      <w:pPr>
        <w:spacing w:before="120" w:after="120"/>
        <w:rPr>
          <w:rFonts w:asciiTheme="majorHAnsi" w:hAnsiTheme="majorHAnsi" w:cstheme="majorHAnsi"/>
          <w:b/>
          <w:bCs/>
        </w:rPr>
      </w:pPr>
      <w:r w:rsidRPr="003E45EA">
        <w:rPr>
          <w:rFonts w:asciiTheme="majorHAnsi" w:hAnsiTheme="majorHAnsi" w:cstheme="majorHAnsi"/>
          <w:b/>
          <w:bCs/>
        </w:rPr>
        <w:lastRenderedPageBreak/>
        <w:t>Australian Shares - Sector Returns</w:t>
      </w:r>
    </w:p>
    <w:p w14:paraId="6051FE95" w14:textId="42A46010" w:rsidR="006C68B8" w:rsidRPr="003E45EA" w:rsidRDefault="004429E9" w:rsidP="001F41D2">
      <w:pPr>
        <w:spacing w:before="120" w:after="120"/>
        <w:jc w:val="center"/>
        <w:rPr>
          <w:rFonts w:asciiTheme="majorHAnsi" w:hAnsiTheme="majorHAnsi" w:cstheme="majorHAnsi"/>
        </w:rPr>
      </w:pPr>
      <w:r w:rsidRPr="004429E9">
        <w:rPr>
          <w:rFonts w:asciiTheme="majorHAnsi" w:hAnsiTheme="majorHAnsi" w:cstheme="majorHAnsi"/>
          <w:noProof/>
        </w:rPr>
        <w:drawing>
          <wp:inline distT="0" distB="0" distL="0" distR="0" wp14:anchorId="3C74D482" wp14:editId="48F6E462">
            <wp:extent cx="4219575" cy="2809875"/>
            <wp:effectExtent l="0" t="0" r="9525" b="9525"/>
            <wp:docPr id="19659724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9575" cy="2809875"/>
                    </a:xfrm>
                    <a:prstGeom prst="rect">
                      <a:avLst/>
                    </a:prstGeom>
                    <a:noFill/>
                    <a:ln>
                      <a:noFill/>
                    </a:ln>
                  </pic:spPr>
                </pic:pic>
              </a:graphicData>
            </a:graphic>
          </wp:inline>
        </w:drawing>
      </w:r>
    </w:p>
    <w:p w14:paraId="7EE381D5" w14:textId="277F48AE" w:rsidR="009E7EF6" w:rsidRPr="003E45EA" w:rsidRDefault="006C68B8" w:rsidP="009E7EF6">
      <w:pPr>
        <w:jc w:val="center"/>
        <w:rPr>
          <w:rFonts w:asciiTheme="majorHAnsi" w:hAnsiTheme="majorHAnsi" w:cstheme="majorHAnsi"/>
        </w:rPr>
      </w:pPr>
      <w:r w:rsidRPr="003E45EA">
        <w:rPr>
          <w:rFonts w:asciiTheme="majorHAnsi" w:hAnsiTheme="majorHAnsi" w:cstheme="majorHAnsi"/>
        </w:rPr>
        <w:t>S</w:t>
      </w:r>
      <w:r w:rsidR="009E7EF6" w:rsidRPr="003E45EA">
        <w:rPr>
          <w:rFonts w:asciiTheme="majorHAnsi" w:hAnsiTheme="majorHAnsi" w:cstheme="majorHAnsi"/>
        </w:rPr>
        <w:t xml:space="preserve">ource data: Lonsec as </w:t>
      </w:r>
      <w:r w:rsidR="0023164B" w:rsidRPr="003E45EA">
        <w:rPr>
          <w:rFonts w:asciiTheme="majorHAnsi" w:hAnsiTheme="majorHAnsi" w:cstheme="majorHAnsi"/>
        </w:rPr>
        <w:t>of</w:t>
      </w:r>
      <w:r w:rsidR="009E7EF6" w:rsidRPr="003E45EA">
        <w:rPr>
          <w:rFonts w:asciiTheme="majorHAnsi" w:hAnsiTheme="majorHAnsi" w:cstheme="majorHAnsi"/>
        </w:rPr>
        <w:t xml:space="preserve"> </w:t>
      </w:r>
      <w:r w:rsidR="00DD2467" w:rsidRPr="003E45EA">
        <w:rPr>
          <w:rFonts w:asciiTheme="majorHAnsi" w:hAnsiTheme="majorHAnsi" w:cstheme="majorHAnsi"/>
        </w:rPr>
        <w:t>3</w:t>
      </w:r>
      <w:r w:rsidR="00BA16C9">
        <w:rPr>
          <w:rFonts w:asciiTheme="majorHAnsi" w:hAnsiTheme="majorHAnsi" w:cstheme="majorHAnsi"/>
        </w:rPr>
        <w:t>1</w:t>
      </w:r>
      <w:r w:rsidR="00BA16C9" w:rsidRPr="00BA16C9">
        <w:rPr>
          <w:rFonts w:asciiTheme="majorHAnsi" w:hAnsiTheme="majorHAnsi" w:cstheme="majorHAnsi"/>
          <w:vertAlign w:val="superscript"/>
        </w:rPr>
        <w:t>st</w:t>
      </w:r>
      <w:r w:rsidR="00BA16C9">
        <w:rPr>
          <w:rFonts w:asciiTheme="majorHAnsi" w:hAnsiTheme="majorHAnsi" w:cstheme="majorHAnsi"/>
        </w:rPr>
        <w:t xml:space="preserve"> </w:t>
      </w:r>
      <w:r w:rsidR="004429E9">
        <w:rPr>
          <w:rFonts w:asciiTheme="majorHAnsi" w:hAnsiTheme="majorHAnsi" w:cstheme="majorHAnsi"/>
        </w:rPr>
        <w:t>August</w:t>
      </w:r>
      <w:r w:rsidR="007D590D" w:rsidRPr="003E45EA">
        <w:rPr>
          <w:rFonts w:asciiTheme="majorHAnsi" w:hAnsiTheme="majorHAnsi" w:cstheme="majorHAnsi"/>
        </w:rPr>
        <w:t xml:space="preserve"> 2</w:t>
      </w:r>
      <w:r w:rsidR="00AA627D" w:rsidRPr="003E45EA">
        <w:rPr>
          <w:rFonts w:asciiTheme="majorHAnsi" w:hAnsiTheme="majorHAnsi" w:cstheme="majorHAnsi"/>
        </w:rPr>
        <w:t>02</w:t>
      </w:r>
      <w:r w:rsidR="004A6010" w:rsidRPr="003E45EA">
        <w:rPr>
          <w:rFonts w:asciiTheme="majorHAnsi" w:hAnsiTheme="majorHAnsi" w:cstheme="majorHAnsi"/>
        </w:rPr>
        <w:t>5</w:t>
      </w:r>
    </w:p>
    <w:p w14:paraId="78F8BC4A" w14:textId="77777777" w:rsidR="009E7EF6" w:rsidRPr="003E45EA" w:rsidRDefault="009E7EF6" w:rsidP="009E7EF6">
      <w:pPr>
        <w:pStyle w:val="Heading2"/>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Debt Market Returns</w:t>
      </w:r>
    </w:p>
    <w:p w14:paraId="26CC03CE" w14:textId="23981DF9" w:rsidR="00585652" w:rsidRDefault="006B03BA" w:rsidP="00386494">
      <w:pPr>
        <w:spacing w:before="120" w:after="120"/>
        <w:jc w:val="center"/>
        <w:rPr>
          <w:rFonts w:asciiTheme="majorHAnsi" w:hAnsiTheme="majorHAnsi" w:cstheme="majorHAnsi"/>
        </w:rPr>
      </w:pPr>
      <w:r w:rsidRPr="003E45EA">
        <w:rPr>
          <w:rFonts w:asciiTheme="majorHAnsi" w:hAnsiTheme="majorHAnsi" w:cstheme="majorHAnsi"/>
        </w:rPr>
        <w:t xml:space="preserve">Australian </w:t>
      </w:r>
      <w:r w:rsidR="009E7EF6" w:rsidRPr="003E45EA">
        <w:rPr>
          <w:rFonts w:asciiTheme="majorHAnsi" w:hAnsiTheme="majorHAnsi" w:cstheme="majorHAnsi"/>
        </w:rPr>
        <w:t xml:space="preserve">Bonds and Fixed Interest markets </w:t>
      </w:r>
      <w:r w:rsidR="00F43A7D" w:rsidRPr="003E45EA">
        <w:rPr>
          <w:rFonts w:asciiTheme="majorHAnsi" w:hAnsiTheme="majorHAnsi" w:cstheme="majorHAnsi"/>
        </w:rPr>
        <w:t>finished</w:t>
      </w:r>
      <w:r w:rsidR="00C175CC" w:rsidRPr="003E45EA">
        <w:rPr>
          <w:rFonts w:asciiTheme="majorHAnsi" w:hAnsiTheme="majorHAnsi" w:cstheme="majorHAnsi"/>
        </w:rPr>
        <w:t xml:space="preserve"> </w:t>
      </w:r>
      <w:r w:rsidR="009A7AE7">
        <w:rPr>
          <w:rFonts w:asciiTheme="majorHAnsi" w:hAnsiTheme="majorHAnsi" w:cstheme="majorHAnsi"/>
        </w:rPr>
        <w:t xml:space="preserve">marginally </w:t>
      </w:r>
      <w:r w:rsidR="004429E9">
        <w:rPr>
          <w:rFonts w:asciiTheme="majorHAnsi" w:hAnsiTheme="majorHAnsi" w:cstheme="majorHAnsi"/>
        </w:rPr>
        <w:t>higher</w:t>
      </w:r>
      <w:r w:rsidR="00573661" w:rsidRPr="003E45EA">
        <w:rPr>
          <w:rFonts w:asciiTheme="majorHAnsi" w:hAnsiTheme="majorHAnsi" w:cstheme="majorHAnsi"/>
        </w:rPr>
        <w:t xml:space="preserve"> </w:t>
      </w:r>
      <w:r w:rsidR="00A52972" w:rsidRPr="003E45EA">
        <w:rPr>
          <w:rFonts w:asciiTheme="majorHAnsi" w:hAnsiTheme="majorHAnsi" w:cstheme="majorHAnsi"/>
        </w:rPr>
        <w:t xml:space="preserve">as </w:t>
      </w:r>
      <w:r w:rsidR="008E3CF5" w:rsidRPr="003E45EA">
        <w:rPr>
          <w:rFonts w:asciiTheme="majorHAnsi" w:hAnsiTheme="majorHAnsi" w:cstheme="majorHAnsi"/>
        </w:rPr>
        <w:t xml:space="preserve">global bond </w:t>
      </w:r>
      <w:r w:rsidR="00C175CC" w:rsidRPr="003E45EA">
        <w:rPr>
          <w:rFonts w:asciiTheme="majorHAnsi" w:hAnsiTheme="majorHAnsi" w:cstheme="majorHAnsi"/>
        </w:rPr>
        <w:t>pr</w:t>
      </w:r>
      <w:r w:rsidR="002710BC" w:rsidRPr="003E45EA">
        <w:rPr>
          <w:rFonts w:asciiTheme="majorHAnsi" w:hAnsiTheme="majorHAnsi" w:cstheme="majorHAnsi"/>
        </w:rPr>
        <w:t>ice</w:t>
      </w:r>
      <w:r w:rsidR="00A52972" w:rsidRPr="003E45EA">
        <w:rPr>
          <w:rFonts w:asciiTheme="majorHAnsi" w:hAnsiTheme="majorHAnsi" w:cstheme="majorHAnsi"/>
        </w:rPr>
        <w:t xml:space="preserve">s </w:t>
      </w:r>
      <w:r w:rsidR="00443BF3">
        <w:rPr>
          <w:rFonts w:asciiTheme="majorHAnsi" w:hAnsiTheme="majorHAnsi" w:cstheme="majorHAnsi"/>
        </w:rPr>
        <w:t xml:space="preserve">pushed </w:t>
      </w:r>
      <w:r w:rsidR="004429E9">
        <w:rPr>
          <w:rFonts w:asciiTheme="majorHAnsi" w:hAnsiTheme="majorHAnsi" w:cstheme="majorHAnsi"/>
        </w:rPr>
        <w:t>high</w:t>
      </w:r>
      <w:r w:rsidR="00443BF3">
        <w:rPr>
          <w:rFonts w:asciiTheme="majorHAnsi" w:hAnsiTheme="majorHAnsi" w:cstheme="majorHAnsi"/>
        </w:rPr>
        <w:t>er</w:t>
      </w:r>
      <w:r w:rsidR="00680BB2" w:rsidRPr="003E45EA">
        <w:rPr>
          <w:rFonts w:asciiTheme="majorHAnsi" w:hAnsiTheme="majorHAnsi" w:cstheme="majorHAnsi"/>
        </w:rPr>
        <w:t xml:space="preserve"> </w:t>
      </w:r>
      <w:r w:rsidR="002710BC" w:rsidRPr="003E45EA">
        <w:rPr>
          <w:rFonts w:asciiTheme="majorHAnsi" w:hAnsiTheme="majorHAnsi" w:cstheme="majorHAnsi"/>
        </w:rPr>
        <w:t>(</w:t>
      </w:r>
      <w:r w:rsidR="004429E9">
        <w:rPr>
          <w:rFonts w:asciiTheme="majorHAnsi" w:hAnsiTheme="majorHAnsi" w:cstheme="majorHAnsi"/>
        </w:rPr>
        <w:t>down</w:t>
      </w:r>
      <w:r w:rsidR="00072B77" w:rsidRPr="003E45EA">
        <w:rPr>
          <w:rFonts w:asciiTheme="majorHAnsi" w:hAnsiTheme="majorHAnsi" w:cstheme="majorHAnsi"/>
        </w:rPr>
        <w:t xml:space="preserve"> </w:t>
      </w:r>
      <w:r w:rsidR="003C26EF" w:rsidRPr="003E45EA">
        <w:rPr>
          <w:rFonts w:asciiTheme="majorHAnsi" w:hAnsiTheme="majorHAnsi" w:cstheme="majorHAnsi"/>
        </w:rPr>
        <w:t xml:space="preserve">in </w:t>
      </w:r>
      <w:r w:rsidR="002710BC" w:rsidRPr="003E45EA">
        <w:rPr>
          <w:rFonts w:asciiTheme="majorHAnsi" w:hAnsiTheme="majorHAnsi" w:cstheme="majorHAnsi"/>
        </w:rPr>
        <w:t xml:space="preserve">yield) </w:t>
      </w:r>
      <w:r w:rsidR="001D48CC" w:rsidRPr="003E45EA">
        <w:rPr>
          <w:rFonts w:asciiTheme="majorHAnsi" w:hAnsiTheme="majorHAnsi" w:cstheme="majorHAnsi"/>
        </w:rPr>
        <w:t xml:space="preserve">after a </w:t>
      </w:r>
      <w:r w:rsidR="00B9052F">
        <w:rPr>
          <w:rFonts w:asciiTheme="majorHAnsi" w:hAnsiTheme="majorHAnsi" w:cstheme="majorHAnsi"/>
        </w:rPr>
        <w:t>quiet</w:t>
      </w:r>
      <w:r w:rsidR="001D48CC" w:rsidRPr="003E45EA">
        <w:rPr>
          <w:rFonts w:asciiTheme="majorHAnsi" w:hAnsiTheme="majorHAnsi" w:cstheme="majorHAnsi"/>
        </w:rPr>
        <w:t xml:space="preserve"> </w:t>
      </w:r>
      <w:r w:rsidR="00443BF3">
        <w:rPr>
          <w:rFonts w:asciiTheme="majorHAnsi" w:hAnsiTheme="majorHAnsi" w:cstheme="majorHAnsi"/>
        </w:rPr>
        <w:t>period</w:t>
      </w:r>
      <w:r w:rsidRPr="003E45EA">
        <w:rPr>
          <w:rFonts w:asciiTheme="majorHAnsi" w:hAnsiTheme="majorHAnsi" w:cstheme="majorHAnsi"/>
        </w:rPr>
        <w:t xml:space="preserve"> which saw highs of </w:t>
      </w:r>
      <w:r w:rsidR="00443BF3">
        <w:rPr>
          <w:rFonts w:asciiTheme="majorHAnsi" w:hAnsiTheme="majorHAnsi" w:cstheme="majorHAnsi"/>
        </w:rPr>
        <w:t>4.</w:t>
      </w:r>
      <w:r w:rsidR="00B9052F">
        <w:rPr>
          <w:rFonts w:asciiTheme="majorHAnsi" w:hAnsiTheme="majorHAnsi" w:cstheme="majorHAnsi"/>
        </w:rPr>
        <w:t>331</w:t>
      </w:r>
      <w:r w:rsidR="00443BF3">
        <w:rPr>
          <w:rFonts w:asciiTheme="majorHAnsi" w:hAnsiTheme="majorHAnsi" w:cstheme="majorHAnsi"/>
        </w:rPr>
        <w:t xml:space="preserve">% </w:t>
      </w:r>
      <w:r w:rsidR="00B9052F">
        <w:rPr>
          <w:rFonts w:asciiTheme="majorHAnsi" w:hAnsiTheme="majorHAnsi" w:cstheme="majorHAnsi"/>
        </w:rPr>
        <w:t>27</w:t>
      </w:r>
      <w:r w:rsidR="0063302F" w:rsidRPr="0063302F">
        <w:rPr>
          <w:rFonts w:asciiTheme="majorHAnsi" w:hAnsiTheme="majorHAnsi" w:cstheme="majorHAnsi"/>
          <w:vertAlign w:val="superscript"/>
        </w:rPr>
        <w:t>th</w:t>
      </w:r>
      <w:r w:rsidR="0063302F">
        <w:rPr>
          <w:rFonts w:asciiTheme="majorHAnsi" w:hAnsiTheme="majorHAnsi" w:cstheme="majorHAnsi"/>
        </w:rPr>
        <w:t xml:space="preserve"> </w:t>
      </w:r>
      <w:r w:rsidR="00B9052F">
        <w:rPr>
          <w:rFonts w:asciiTheme="majorHAnsi" w:hAnsiTheme="majorHAnsi" w:cstheme="majorHAnsi"/>
        </w:rPr>
        <w:t xml:space="preserve">August </w:t>
      </w:r>
      <w:r w:rsidR="0063302F">
        <w:rPr>
          <w:rFonts w:asciiTheme="majorHAnsi" w:hAnsiTheme="majorHAnsi" w:cstheme="majorHAnsi"/>
        </w:rPr>
        <w:t xml:space="preserve">2025 </w:t>
      </w:r>
      <w:r w:rsidR="00443BF3">
        <w:rPr>
          <w:rFonts w:asciiTheme="majorHAnsi" w:hAnsiTheme="majorHAnsi" w:cstheme="majorHAnsi"/>
        </w:rPr>
        <w:t>and lows of 4.</w:t>
      </w:r>
      <w:r w:rsidR="00B9052F">
        <w:rPr>
          <w:rFonts w:asciiTheme="majorHAnsi" w:hAnsiTheme="majorHAnsi" w:cstheme="majorHAnsi"/>
        </w:rPr>
        <w:t>215</w:t>
      </w:r>
      <w:r w:rsidR="00443BF3">
        <w:rPr>
          <w:rFonts w:asciiTheme="majorHAnsi" w:hAnsiTheme="majorHAnsi" w:cstheme="majorHAnsi"/>
        </w:rPr>
        <w:t xml:space="preserve">% as </w:t>
      </w:r>
      <w:r w:rsidR="00915786">
        <w:rPr>
          <w:rFonts w:asciiTheme="majorHAnsi" w:hAnsiTheme="majorHAnsi" w:cstheme="majorHAnsi"/>
        </w:rPr>
        <w:t>of</w:t>
      </w:r>
      <w:r w:rsidR="00443BF3">
        <w:rPr>
          <w:rFonts w:asciiTheme="majorHAnsi" w:hAnsiTheme="majorHAnsi" w:cstheme="majorHAnsi"/>
        </w:rPr>
        <w:t xml:space="preserve"> </w:t>
      </w:r>
      <w:r w:rsidR="0063302F">
        <w:rPr>
          <w:rFonts w:asciiTheme="majorHAnsi" w:hAnsiTheme="majorHAnsi" w:cstheme="majorHAnsi"/>
        </w:rPr>
        <w:t>1</w:t>
      </w:r>
      <w:r w:rsidR="00B9052F">
        <w:rPr>
          <w:rFonts w:asciiTheme="majorHAnsi" w:hAnsiTheme="majorHAnsi" w:cstheme="majorHAnsi"/>
        </w:rPr>
        <w:t>4</w:t>
      </w:r>
      <w:r w:rsidR="00B9052F" w:rsidRPr="00B9052F">
        <w:rPr>
          <w:rFonts w:asciiTheme="majorHAnsi" w:hAnsiTheme="majorHAnsi" w:cstheme="majorHAnsi"/>
          <w:vertAlign w:val="superscript"/>
        </w:rPr>
        <w:t>th</w:t>
      </w:r>
      <w:r w:rsidR="00B9052F">
        <w:rPr>
          <w:rFonts w:asciiTheme="majorHAnsi" w:hAnsiTheme="majorHAnsi" w:cstheme="majorHAnsi"/>
        </w:rPr>
        <w:t xml:space="preserve"> August</w:t>
      </w:r>
      <w:r w:rsidR="00443BF3">
        <w:rPr>
          <w:rFonts w:asciiTheme="majorHAnsi" w:hAnsiTheme="majorHAnsi" w:cstheme="majorHAnsi"/>
        </w:rPr>
        <w:t xml:space="preserve"> 2025</w:t>
      </w:r>
      <w:r w:rsidR="001D48CC" w:rsidRPr="003E45EA">
        <w:rPr>
          <w:rFonts w:asciiTheme="majorHAnsi" w:hAnsiTheme="majorHAnsi" w:cstheme="majorHAnsi"/>
        </w:rPr>
        <w:t xml:space="preserve">. </w:t>
      </w:r>
      <w:r w:rsidR="002E3192" w:rsidRPr="003E45EA">
        <w:rPr>
          <w:rFonts w:asciiTheme="majorHAnsi" w:hAnsiTheme="majorHAnsi" w:cstheme="majorHAnsi"/>
        </w:rPr>
        <w:t xml:space="preserve">Australian </w:t>
      </w:r>
      <w:r w:rsidR="00A02F18" w:rsidRPr="003E45EA">
        <w:rPr>
          <w:rFonts w:asciiTheme="majorHAnsi" w:hAnsiTheme="majorHAnsi" w:cstheme="majorHAnsi"/>
        </w:rPr>
        <w:t xml:space="preserve">bonds </w:t>
      </w:r>
      <w:r w:rsidR="001D48CC" w:rsidRPr="003E45EA">
        <w:rPr>
          <w:rFonts w:asciiTheme="majorHAnsi" w:hAnsiTheme="majorHAnsi" w:cstheme="majorHAnsi"/>
        </w:rPr>
        <w:t>remain nervous after</w:t>
      </w:r>
      <w:r w:rsidR="005E4197" w:rsidRPr="003E45EA">
        <w:rPr>
          <w:rFonts w:asciiTheme="majorHAnsi" w:hAnsiTheme="majorHAnsi" w:cstheme="majorHAnsi"/>
        </w:rPr>
        <w:t xml:space="preserve"> </w:t>
      </w:r>
      <w:r w:rsidR="002E3192" w:rsidRPr="003E45EA">
        <w:rPr>
          <w:rFonts w:asciiTheme="majorHAnsi" w:hAnsiTheme="majorHAnsi" w:cstheme="majorHAnsi"/>
        </w:rPr>
        <w:t>the</w:t>
      </w:r>
      <w:r w:rsidR="00656179" w:rsidRPr="003E45EA">
        <w:rPr>
          <w:rFonts w:asciiTheme="majorHAnsi" w:hAnsiTheme="majorHAnsi" w:cstheme="majorHAnsi"/>
        </w:rPr>
        <w:t xml:space="preserve"> initial</w:t>
      </w:r>
      <w:r w:rsidR="00B743B6" w:rsidRPr="003E45EA">
        <w:rPr>
          <w:rFonts w:asciiTheme="majorHAnsi" w:hAnsiTheme="majorHAnsi" w:cstheme="majorHAnsi"/>
        </w:rPr>
        <w:t xml:space="preserve"> US </w:t>
      </w:r>
      <w:r w:rsidR="00656179" w:rsidRPr="003E45EA">
        <w:rPr>
          <w:rFonts w:asciiTheme="majorHAnsi" w:hAnsiTheme="majorHAnsi" w:cstheme="majorHAnsi"/>
        </w:rPr>
        <w:t>tariff</w:t>
      </w:r>
      <w:r w:rsidR="00B743B6" w:rsidRPr="003E45EA">
        <w:rPr>
          <w:rFonts w:asciiTheme="majorHAnsi" w:hAnsiTheme="majorHAnsi" w:cstheme="majorHAnsi"/>
        </w:rPr>
        <w:t xml:space="preserve"> </w:t>
      </w:r>
      <w:r w:rsidR="002E3192" w:rsidRPr="003E45EA">
        <w:rPr>
          <w:rFonts w:asciiTheme="majorHAnsi" w:hAnsiTheme="majorHAnsi" w:cstheme="majorHAnsi"/>
        </w:rPr>
        <w:t xml:space="preserve">sell-off </w:t>
      </w:r>
      <w:r w:rsidR="00EA7294" w:rsidRPr="003E45EA">
        <w:rPr>
          <w:rFonts w:asciiTheme="majorHAnsi" w:hAnsiTheme="majorHAnsi" w:cstheme="majorHAnsi"/>
        </w:rPr>
        <w:t>with</w:t>
      </w:r>
      <w:r w:rsidR="00B743B6" w:rsidRPr="003E45EA">
        <w:rPr>
          <w:rFonts w:asciiTheme="majorHAnsi" w:hAnsiTheme="majorHAnsi" w:cstheme="majorHAnsi"/>
        </w:rPr>
        <w:t xml:space="preserve"> the </w:t>
      </w:r>
      <w:r w:rsidR="00585652" w:rsidRPr="003E45EA">
        <w:rPr>
          <w:rFonts w:asciiTheme="majorHAnsi" w:hAnsiTheme="majorHAnsi" w:cstheme="majorHAnsi"/>
        </w:rPr>
        <w:t>short-dated</w:t>
      </w:r>
      <w:r w:rsidR="001C4340" w:rsidRPr="003E45EA">
        <w:rPr>
          <w:rFonts w:asciiTheme="majorHAnsi" w:hAnsiTheme="majorHAnsi" w:cstheme="majorHAnsi"/>
        </w:rPr>
        <w:t xml:space="preserve"> </w:t>
      </w:r>
      <w:r w:rsidR="0022166E" w:rsidRPr="003E45EA">
        <w:rPr>
          <w:rFonts w:asciiTheme="majorHAnsi" w:hAnsiTheme="majorHAnsi" w:cstheme="majorHAnsi"/>
        </w:rPr>
        <w:t xml:space="preserve"> </w:t>
      </w:r>
      <w:r w:rsidR="00A52972" w:rsidRPr="003E45EA">
        <w:rPr>
          <w:rFonts w:asciiTheme="majorHAnsi" w:hAnsiTheme="majorHAnsi" w:cstheme="majorHAnsi"/>
        </w:rPr>
        <w:t>2</w:t>
      </w:r>
      <w:r w:rsidR="008D78CF" w:rsidRPr="003E45EA">
        <w:rPr>
          <w:rFonts w:asciiTheme="majorHAnsi" w:hAnsiTheme="majorHAnsi" w:cstheme="majorHAnsi"/>
        </w:rPr>
        <w:t>-year</w:t>
      </w:r>
      <w:r w:rsidR="00503D92" w:rsidRPr="003E45EA">
        <w:rPr>
          <w:rFonts w:asciiTheme="majorHAnsi" w:hAnsiTheme="majorHAnsi" w:cstheme="majorHAnsi"/>
        </w:rPr>
        <w:t xml:space="preserve"> </w:t>
      </w:r>
      <w:r w:rsidR="0020369D" w:rsidRPr="003E45EA">
        <w:rPr>
          <w:rFonts w:asciiTheme="majorHAnsi" w:hAnsiTheme="majorHAnsi" w:cstheme="majorHAnsi"/>
        </w:rPr>
        <w:t xml:space="preserve">Government bonds </w:t>
      </w:r>
      <w:r w:rsidR="00443BF3">
        <w:rPr>
          <w:rFonts w:asciiTheme="majorHAnsi" w:hAnsiTheme="majorHAnsi" w:cstheme="majorHAnsi"/>
        </w:rPr>
        <w:t xml:space="preserve">now </w:t>
      </w:r>
      <w:r w:rsidR="00D072D3" w:rsidRPr="003E45EA">
        <w:rPr>
          <w:rFonts w:asciiTheme="majorHAnsi" w:hAnsiTheme="majorHAnsi" w:cstheme="majorHAnsi"/>
        </w:rPr>
        <w:t xml:space="preserve">trading at </w:t>
      </w:r>
      <w:r w:rsidR="00B743B6" w:rsidRPr="003E45EA">
        <w:rPr>
          <w:rFonts w:asciiTheme="majorHAnsi" w:hAnsiTheme="majorHAnsi" w:cstheme="majorHAnsi"/>
          <w:b/>
          <w:bCs/>
        </w:rPr>
        <w:t>3.</w:t>
      </w:r>
      <w:r w:rsidRPr="003E45EA">
        <w:rPr>
          <w:rFonts w:asciiTheme="majorHAnsi" w:hAnsiTheme="majorHAnsi" w:cstheme="majorHAnsi"/>
          <w:b/>
          <w:bCs/>
        </w:rPr>
        <w:t>3</w:t>
      </w:r>
      <w:r w:rsidR="00386494">
        <w:rPr>
          <w:rFonts w:asciiTheme="majorHAnsi" w:hAnsiTheme="majorHAnsi" w:cstheme="majorHAnsi"/>
          <w:b/>
          <w:bCs/>
        </w:rPr>
        <w:t>8</w:t>
      </w:r>
      <w:r w:rsidR="0020369D" w:rsidRPr="003E45EA">
        <w:rPr>
          <w:rFonts w:asciiTheme="majorHAnsi" w:hAnsiTheme="majorHAnsi" w:cstheme="majorHAnsi"/>
          <w:b/>
          <w:bCs/>
        </w:rPr>
        <w:t xml:space="preserve">% </w:t>
      </w:r>
      <w:r w:rsidR="00C23855" w:rsidRPr="003E45EA">
        <w:rPr>
          <w:rFonts w:asciiTheme="majorHAnsi" w:hAnsiTheme="majorHAnsi" w:cstheme="majorHAnsi"/>
        </w:rPr>
        <w:t xml:space="preserve">on the </w:t>
      </w:r>
      <w:r w:rsidR="0063302F">
        <w:rPr>
          <w:rFonts w:asciiTheme="majorHAnsi" w:hAnsiTheme="majorHAnsi" w:cstheme="majorHAnsi"/>
        </w:rPr>
        <w:t>1</w:t>
      </w:r>
      <w:r w:rsidR="00386494">
        <w:rPr>
          <w:rFonts w:asciiTheme="majorHAnsi" w:hAnsiTheme="majorHAnsi" w:cstheme="majorHAnsi"/>
        </w:rPr>
        <w:t>6</w:t>
      </w:r>
      <w:r w:rsidR="0063302F" w:rsidRPr="009A7AE7">
        <w:rPr>
          <w:rFonts w:asciiTheme="majorHAnsi" w:hAnsiTheme="majorHAnsi" w:cstheme="majorHAnsi"/>
          <w:vertAlign w:val="superscript"/>
        </w:rPr>
        <w:t>th of</w:t>
      </w:r>
      <w:r w:rsidR="009A7AE7">
        <w:rPr>
          <w:rFonts w:asciiTheme="majorHAnsi" w:hAnsiTheme="majorHAnsi" w:cstheme="majorHAnsi"/>
        </w:rPr>
        <w:t xml:space="preserve"> </w:t>
      </w:r>
      <w:r w:rsidR="00386494">
        <w:rPr>
          <w:rFonts w:asciiTheme="majorHAnsi" w:hAnsiTheme="majorHAnsi" w:cstheme="majorHAnsi"/>
        </w:rPr>
        <w:t>September</w:t>
      </w:r>
      <w:r w:rsidR="00C23855" w:rsidRPr="003E45EA">
        <w:rPr>
          <w:rFonts w:asciiTheme="majorHAnsi" w:hAnsiTheme="majorHAnsi" w:cstheme="majorHAnsi"/>
        </w:rPr>
        <w:t xml:space="preserve"> 202</w:t>
      </w:r>
      <w:r w:rsidR="00072B77" w:rsidRPr="003E45EA">
        <w:rPr>
          <w:rFonts w:asciiTheme="majorHAnsi" w:hAnsiTheme="majorHAnsi" w:cstheme="majorHAnsi"/>
        </w:rPr>
        <w:t>5</w:t>
      </w:r>
      <w:r w:rsidR="00C23855" w:rsidRPr="003E45EA">
        <w:rPr>
          <w:rFonts w:asciiTheme="majorHAnsi" w:hAnsiTheme="majorHAnsi" w:cstheme="majorHAnsi"/>
        </w:rPr>
        <w:t xml:space="preserve"> </w:t>
      </w:r>
      <w:r w:rsidR="0022166E" w:rsidRPr="003E45EA">
        <w:rPr>
          <w:rFonts w:asciiTheme="majorHAnsi" w:hAnsiTheme="majorHAnsi" w:cstheme="majorHAnsi"/>
        </w:rPr>
        <w:t xml:space="preserve">and longer dated </w:t>
      </w:r>
      <w:r w:rsidR="00503D92" w:rsidRPr="003E45EA">
        <w:rPr>
          <w:rFonts w:asciiTheme="majorHAnsi" w:hAnsiTheme="majorHAnsi" w:cstheme="majorHAnsi"/>
        </w:rPr>
        <w:t>10</w:t>
      </w:r>
      <w:r w:rsidR="008D78CF" w:rsidRPr="003E45EA">
        <w:rPr>
          <w:rFonts w:asciiTheme="majorHAnsi" w:hAnsiTheme="majorHAnsi" w:cstheme="majorHAnsi"/>
        </w:rPr>
        <w:t>-</w:t>
      </w:r>
      <w:r w:rsidR="00503D92" w:rsidRPr="003E45EA">
        <w:rPr>
          <w:rFonts w:asciiTheme="majorHAnsi" w:hAnsiTheme="majorHAnsi" w:cstheme="majorHAnsi"/>
        </w:rPr>
        <w:t xml:space="preserve">year </w:t>
      </w:r>
      <w:r w:rsidR="001C4340" w:rsidRPr="003E45EA">
        <w:rPr>
          <w:rFonts w:asciiTheme="majorHAnsi" w:hAnsiTheme="majorHAnsi" w:cstheme="majorHAnsi"/>
        </w:rPr>
        <w:t xml:space="preserve">bonds </w:t>
      </w:r>
      <w:r w:rsidR="00D072D3" w:rsidRPr="003E45EA">
        <w:rPr>
          <w:rFonts w:asciiTheme="majorHAnsi" w:hAnsiTheme="majorHAnsi" w:cstheme="majorHAnsi"/>
        </w:rPr>
        <w:t>trading</w:t>
      </w:r>
      <w:r w:rsidR="00AD47B6" w:rsidRPr="003E45EA">
        <w:rPr>
          <w:rFonts w:asciiTheme="majorHAnsi" w:hAnsiTheme="majorHAnsi" w:cstheme="majorHAnsi"/>
        </w:rPr>
        <w:t xml:space="preserve"> at </w:t>
      </w:r>
      <w:r w:rsidR="00CE0DD6" w:rsidRPr="003E45EA">
        <w:rPr>
          <w:rFonts w:asciiTheme="majorHAnsi" w:hAnsiTheme="majorHAnsi" w:cstheme="majorHAnsi"/>
          <w:b/>
          <w:bCs/>
        </w:rPr>
        <w:t>4</w:t>
      </w:r>
      <w:r w:rsidR="00B743B6" w:rsidRPr="003E45EA">
        <w:rPr>
          <w:rFonts w:asciiTheme="majorHAnsi" w:hAnsiTheme="majorHAnsi" w:cstheme="majorHAnsi"/>
          <w:b/>
          <w:bCs/>
        </w:rPr>
        <w:t>.</w:t>
      </w:r>
      <w:r w:rsidR="009A7AE7">
        <w:rPr>
          <w:rFonts w:asciiTheme="majorHAnsi" w:hAnsiTheme="majorHAnsi" w:cstheme="majorHAnsi"/>
          <w:b/>
          <w:bCs/>
        </w:rPr>
        <w:t>2</w:t>
      </w:r>
      <w:r w:rsidR="00386494">
        <w:rPr>
          <w:rFonts w:asciiTheme="majorHAnsi" w:hAnsiTheme="majorHAnsi" w:cstheme="majorHAnsi"/>
          <w:b/>
          <w:bCs/>
        </w:rPr>
        <w:t>24</w:t>
      </w:r>
      <w:r w:rsidR="00526D92" w:rsidRPr="003E45EA">
        <w:rPr>
          <w:rFonts w:asciiTheme="majorHAnsi" w:hAnsiTheme="majorHAnsi" w:cstheme="majorHAnsi"/>
          <w:b/>
          <w:bCs/>
        </w:rPr>
        <w:t>%</w:t>
      </w:r>
      <w:r w:rsidR="00867FD2" w:rsidRPr="003E45EA">
        <w:rPr>
          <w:rFonts w:asciiTheme="majorHAnsi" w:hAnsiTheme="majorHAnsi" w:cstheme="majorHAnsi"/>
          <w:b/>
          <w:bCs/>
        </w:rPr>
        <w:t>.</w:t>
      </w:r>
      <w:r w:rsidR="00712A94" w:rsidRPr="003E45EA">
        <w:rPr>
          <w:rFonts w:asciiTheme="majorHAnsi" w:hAnsiTheme="majorHAnsi" w:cstheme="majorHAnsi"/>
        </w:rPr>
        <w:t xml:space="preserve"> </w:t>
      </w:r>
      <w:r w:rsidR="00386494" w:rsidRPr="00386494">
        <w:rPr>
          <w:rFonts w:asciiTheme="majorHAnsi" w:hAnsiTheme="majorHAnsi" w:cstheme="majorHAnsi"/>
          <w:noProof/>
        </w:rPr>
        <w:drawing>
          <wp:inline distT="0" distB="0" distL="0" distR="0" wp14:anchorId="02E6E5B6" wp14:editId="630DCDAC">
            <wp:extent cx="4362450" cy="1638300"/>
            <wp:effectExtent l="0" t="0" r="0" b="0"/>
            <wp:docPr id="579721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2450" cy="1638300"/>
                    </a:xfrm>
                    <a:prstGeom prst="rect">
                      <a:avLst/>
                    </a:prstGeom>
                    <a:noFill/>
                    <a:ln>
                      <a:noFill/>
                    </a:ln>
                  </pic:spPr>
                </pic:pic>
              </a:graphicData>
            </a:graphic>
          </wp:inline>
        </w:drawing>
      </w:r>
    </w:p>
    <w:p w14:paraId="08062F8A" w14:textId="7B2D482A" w:rsidR="00046901" w:rsidRPr="003E45EA" w:rsidRDefault="00046901" w:rsidP="00046901">
      <w:pPr>
        <w:jc w:val="center"/>
        <w:rPr>
          <w:rFonts w:asciiTheme="majorHAnsi" w:hAnsiTheme="majorHAnsi" w:cstheme="majorHAnsi"/>
        </w:rPr>
      </w:pPr>
      <w:r w:rsidRPr="003E45EA">
        <w:rPr>
          <w:rFonts w:asciiTheme="majorHAnsi" w:hAnsiTheme="majorHAnsi" w:cstheme="majorHAnsi"/>
        </w:rPr>
        <w:t>Source data: Lonsec as of 3</w:t>
      </w:r>
      <w:r>
        <w:rPr>
          <w:rFonts w:asciiTheme="majorHAnsi" w:hAnsiTheme="majorHAnsi" w:cstheme="majorHAnsi"/>
        </w:rPr>
        <w:t>1</w:t>
      </w:r>
      <w:r w:rsidRPr="00BA16C9">
        <w:rPr>
          <w:rFonts w:asciiTheme="majorHAnsi" w:hAnsiTheme="majorHAnsi" w:cstheme="majorHAnsi"/>
          <w:vertAlign w:val="superscript"/>
        </w:rPr>
        <w:t>st</w:t>
      </w:r>
      <w:r>
        <w:rPr>
          <w:rFonts w:asciiTheme="majorHAnsi" w:hAnsiTheme="majorHAnsi" w:cstheme="majorHAnsi"/>
        </w:rPr>
        <w:t xml:space="preserve"> </w:t>
      </w:r>
      <w:r w:rsidR="00386494">
        <w:rPr>
          <w:rFonts w:asciiTheme="majorHAnsi" w:hAnsiTheme="majorHAnsi" w:cstheme="majorHAnsi"/>
        </w:rPr>
        <w:t>August</w:t>
      </w:r>
      <w:r w:rsidRPr="003E45EA">
        <w:rPr>
          <w:rFonts w:asciiTheme="majorHAnsi" w:hAnsiTheme="majorHAnsi" w:cstheme="majorHAnsi"/>
        </w:rPr>
        <w:t xml:space="preserve"> 2025</w:t>
      </w:r>
    </w:p>
    <w:p w14:paraId="3C549984" w14:textId="0367ADAE" w:rsidR="00894706" w:rsidRPr="003E45EA" w:rsidRDefault="00923943" w:rsidP="009E7EF6">
      <w:pPr>
        <w:spacing w:before="120" w:after="120"/>
        <w:rPr>
          <w:rFonts w:asciiTheme="majorHAnsi" w:hAnsiTheme="majorHAnsi" w:cstheme="majorHAnsi"/>
        </w:rPr>
      </w:pPr>
      <w:r>
        <w:rPr>
          <w:rFonts w:asciiTheme="majorHAnsi" w:hAnsiTheme="majorHAnsi" w:cstheme="majorHAnsi"/>
        </w:rPr>
        <w:t xml:space="preserve">For </w:t>
      </w:r>
      <w:r w:rsidR="00386494">
        <w:rPr>
          <w:rFonts w:asciiTheme="majorHAnsi" w:hAnsiTheme="majorHAnsi" w:cstheme="majorHAnsi"/>
        </w:rPr>
        <w:t>August</w:t>
      </w:r>
      <w:r>
        <w:rPr>
          <w:rFonts w:asciiTheme="majorHAnsi" w:hAnsiTheme="majorHAnsi" w:cstheme="majorHAnsi"/>
        </w:rPr>
        <w:t xml:space="preserve"> 2025, </w:t>
      </w:r>
      <w:r w:rsidR="00ED23CC" w:rsidRPr="003E45EA">
        <w:rPr>
          <w:rFonts w:asciiTheme="majorHAnsi" w:hAnsiTheme="majorHAnsi" w:cstheme="majorHAnsi"/>
        </w:rPr>
        <w:t>Global Bonds</w:t>
      </w:r>
      <w:r w:rsidR="00DF7915" w:rsidRPr="003E45EA">
        <w:rPr>
          <w:rFonts w:asciiTheme="majorHAnsi" w:hAnsiTheme="majorHAnsi" w:cstheme="majorHAnsi"/>
        </w:rPr>
        <w:t xml:space="preserve"> returns</w:t>
      </w:r>
      <w:r w:rsidR="00ED23CC" w:rsidRPr="003E45EA">
        <w:rPr>
          <w:rFonts w:asciiTheme="majorHAnsi" w:hAnsiTheme="majorHAnsi" w:cstheme="majorHAnsi"/>
        </w:rPr>
        <w:t xml:space="preserve"> </w:t>
      </w:r>
      <w:r w:rsidR="00C51753" w:rsidRPr="003E45EA">
        <w:rPr>
          <w:rFonts w:asciiTheme="majorHAnsi" w:hAnsiTheme="majorHAnsi" w:cstheme="majorHAnsi"/>
        </w:rPr>
        <w:t xml:space="preserve">ended </w:t>
      </w:r>
      <w:r w:rsidR="009A7AE7">
        <w:rPr>
          <w:rFonts w:asciiTheme="majorHAnsi" w:hAnsiTheme="majorHAnsi" w:cstheme="majorHAnsi"/>
        </w:rPr>
        <w:t xml:space="preserve">in </w:t>
      </w:r>
      <w:r w:rsidR="00386494">
        <w:rPr>
          <w:rFonts w:asciiTheme="majorHAnsi" w:hAnsiTheme="majorHAnsi" w:cstheme="majorHAnsi"/>
        </w:rPr>
        <w:t>positive</w:t>
      </w:r>
      <w:r w:rsidR="009A7AE7">
        <w:rPr>
          <w:rFonts w:asciiTheme="majorHAnsi" w:hAnsiTheme="majorHAnsi" w:cstheme="majorHAnsi"/>
        </w:rPr>
        <w:t xml:space="preserve"> territory</w:t>
      </w:r>
      <w:r w:rsidR="00BE2C9A" w:rsidRPr="003E45EA">
        <w:rPr>
          <w:rFonts w:asciiTheme="majorHAnsi" w:hAnsiTheme="majorHAnsi" w:cstheme="majorHAnsi"/>
        </w:rPr>
        <w:t xml:space="preserve"> </w:t>
      </w:r>
      <w:r w:rsidR="00ED23CC" w:rsidRPr="003E45EA">
        <w:rPr>
          <w:rFonts w:asciiTheme="majorHAnsi" w:hAnsiTheme="majorHAnsi" w:cstheme="majorHAnsi"/>
        </w:rPr>
        <w:t>(</w:t>
      </w:r>
      <w:r w:rsidR="00386494">
        <w:rPr>
          <w:rFonts w:asciiTheme="majorHAnsi" w:hAnsiTheme="majorHAnsi" w:cstheme="majorHAnsi"/>
        </w:rPr>
        <w:t>+0.29</w:t>
      </w:r>
      <w:r w:rsidR="00867FD2" w:rsidRPr="003E45EA">
        <w:rPr>
          <w:rFonts w:asciiTheme="majorHAnsi" w:hAnsiTheme="majorHAnsi" w:cstheme="majorHAnsi"/>
        </w:rPr>
        <w:t>%</w:t>
      </w:r>
      <w:r w:rsidR="00ED23CC" w:rsidRPr="003E45EA">
        <w:rPr>
          <w:rFonts w:asciiTheme="majorHAnsi" w:hAnsiTheme="majorHAnsi" w:cstheme="majorHAnsi"/>
        </w:rPr>
        <w:t>) and Australia</w:t>
      </w:r>
      <w:r w:rsidR="00037BFE" w:rsidRPr="003E45EA">
        <w:rPr>
          <w:rFonts w:asciiTheme="majorHAnsi" w:hAnsiTheme="majorHAnsi" w:cstheme="majorHAnsi"/>
        </w:rPr>
        <w:t>n Bonds</w:t>
      </w:r>
      <w:r w:rsidR="00ED23CC" w:rsidRPr="003E45EA">
        <w:rPr>
          <w:rFonts w:asciiTheme="majorHAnsi" w:hAnsiTheme="majorHAnsi" w:cstheme="majorHAnsi"/>
        </w:rPr>
        <w:t xml:space="preserve"> end</w:t>
      </w:r>
      <w:r w:rsidR="002720B5" w:rsidRPr="003E45EA">
        <w:rPr>
          <w:rFonts w:asciiTheme="majorHAnsi" w:hAnsiTheme="majorHAnsi" w:cstheme="majorHAnsi"/>
        </w:rPr>
        <w:t>ed</w:t>
      </w:r>
      <w:r w:rsidR="00ED23CC" w:rsidRPr="003E45EA">
        <w:rPr>
          <w:rFonts w:asciiTheme="majorHAnsi" w:hAnsiTheme="majorHAnsi" w:cstheme="majorHAnsi"/>
        </w:rPr>
        <w:t xml:space="preserve"> </w:t>
      </w:r>
      <w:r w:rsidR="00386494">
        <w:rPr>
          <w:rFonts w:asciiTheme="majorHAnsi" w:hAnsiTheme="majorHAnsi" w:cstheme="majorHAnsi"/>
        </w:rPr>
        <w:t>up</w:t>
      </w:r>
      <w:r w:rsidR="00867FD2" w:rsidRPr="003E45EA">
        <w:rPr>
          <w:rFonts w:asciiTheme="majorHAnsi" w:hAnsiTheme="majorHAnsi" w:cstheme="majorHAnsi"/>
        </w:rPr>
        <w:t xml:space="preserve"> </w:t>
      </w:r>
      <w:r w:rsidR="00ED23CC" w:rsidRPr="003E45EA">
        <w:rPr>
          <w:rFonts w:asciiTheme="majorHAnsi" w:hAnsiTheme="majorHAnsi" w:cstheme="majorHAnsi"/>
        </w:rPr>
        <w:t>(</w:t>
      </w:r>
      <w:r w:rsidR="00386494">
        <w:rPr>
          <w:rFonts w:asciiTheme="majorHAnsi" w:hAnsiTheme="majorHAnsi" w:cstheme="majorHAnsi"/>
        </w:rPr>
        <w:t>+0.33</w:t>
      </w:r>
      <w:r w:rsidR="00A94C92" w:rsidRPr="003E45EA">
        <w:rPr>
          <w:rFonts w:asciiTheme="majorHAnsi" w:hAnsiTheme="majorHAnsi" w:cstheme="majorHAnsi"/>
        </w:rPr>
        <w:t>%</w:t>
      </w:r>
      <w:r w:rsidR="00ED23CC" w:rsidRPr="003E45EA">
        <w:rPr>
          <w:rFonts w:asciiTheme="majorHAnsi" w:hAnsiTheme="majorHAnsi" w:cstheme="majorHAnsi"/>
        </w:rPr>
        <w:t>) for the month</w:t>
      </w:r>
      <w:r w:rsidR="0049196F" w:rsidRPr="003E45EA">
        <w:rPr>
          <w:rFonts w:asciiTheme="majorHAnsi" w:hAnsiTheme="majorHAnsi" w:cstheme="majorHAnsi"/>
        </w:rPr>
        <w:t xml:space="preserve"> </w:t>
      </w:r>
      <w:r w:rsidR="00037BFE" w:rsidRPr="003E45EA">
        <w:rPr>
          <w:rFonts w:asciiTheme="majorHAnsi" w:hAnsiTheme="majorHAnsi" w:cstheme="majorHAnsi"/>
        </w:rPr>
        <w:t>and</w:t>
      </w:r>
      <w:r w:rsidR="0049196F" w:rsidRPr="003E45EA">
        <w:rPr>
          <w:rFonts w:asciiTheme="majorHAnsi" w:hAnsiTheme="majorHAnsi" w:cstheme="majorHAnsi"/>
        </w:rPr>
        <w:t xml:space="preserve"> </w:t>
      </w:r>
      <w:r w:rsidR="00386494">
        <w:rPr>
          <w:rFonts w:asciiTheme="majorHAnsi" w:hAnsiTheme="majorHAnsi" w:cstheme="majorHAnsi"/>
        </w:rPr>
        <w:t>up</w:t>
      </w:r>
      <w:r w:rsidR="00763854" w:rsidRPr="003E45EA">
        <w:rPr>
          <w:rFonts w:asciiTheme="majorHAnsi" w:hAnsiTheme="majorHAnsi" w:cstheme="majorHAnsi"/>
        </w:rPr>
        <w:t xml:space="preserve"> </w:t>
      </w:r>
      <w:r w:rsidR="0049196F" w:rsidRPr="003E45EA">
        <w:rPr>
          <w:rFonts w:asciiTheme="majorHAnsi" w:hAnsiTheme="majorHAnsi" w:cstheme="majorHAnsi"/>
        </w:rPr>
        <w:t>(</w:t>
      </w:r>
      <w:r w:rsidR="00386494">
        <w:rPr>
          <w:rFonts w:asciiTheme="majorHAnsi" w:hAnsiTheme="majorHAnsi" w:cstheme="majorHAnsi"/>
        </w:rPr>
        <w:t>0.70</w:t>
      </w:r>
      <w:r w:rsidR="0058031F" w:rsidRPr="003E45EA">
        <w:rPr>
          <w:rFonts w:asciiTheme="majorHAnsi" w:hAnsiTheme="majorHAnsi" w:cstheme="majorHAnsi"/>
        </w:rPr>
        <w:t>%</w:t>
      </w:r>
      <w:r w:rsidR="0049196F" w:rsidRPr="003E45EA">
        <w:rPr>
          <w:rFonts w:asciiTheme="majorHAnsi" w:hAnsiTheme="majorHAnsi" w:cstheme="majorHAnsi"/>
        </w:rPr>
        <w:t>) and</w:t>
      </w:r>
      <w:r w:rsidR="00AB090A" w:rsidRPr="003E45EA">
        <w:rPr>
          <w:rFonts w:asciiTheme="majorHAnsi" w:hAnsiTheme="majorHAnsi" w:cstheme="majorHAnsi"/>
        </w:rPr>
        <w:t xml:space="preserve"> </w:t>
      </w:r>
      <w:r w:rsidR="0049196F" w:rsidRPr="003E45EA">
        <w:rPr>
          <w:rFonts w:asciiTheme="majorHAnsi" w:hAnsiTheme="majorHAnsi" w:cstheme="majorHAnsi"/>
        </w:rPr>
        <w:t>(</w:t>
      </w:r>
      <w:r w:rsidR="004A6010" w:rsidRPr="003E45EA">
        <w:rPr>
          <w:rFonts w:asciiTheme="majorHAnsi" w:hAnsiTheme="majorHAnsi" w:cstheme="majorHAnsi"/>
        </w:rPr>
        <w:t>+</w:t>
      </w:r>
      <w:r w:rsidR="00386494">
        <w:rPr>
          <w:rFonts w:asciiTheme="majorHAnsi" w:hAnsiTheme="majorHAnsi" w:cstheme="majorHAnsi"/>
        </w:rPr>
        <w:t>1.04</w:t>
      </w:r>
      <w:r w:rsidR="0049196F" w:rsidRPr="003E45EA">
        <w:rPr>
          <w:rFonts w:asciiTheme="majorHAnsi" w:hAnsiTheme="majorHAnsi" w:cstheme="majorHAnsi"/>
        </w:rPr>
        <w:t xml:space="preserve">%) respectively for the </w:t>
      </w:r>
      <w:r w:rsidR="00B6686A" w:rsidRPr="003E45EA">
        <w:rPr>
          <w:rFonts w:asciiTheme="majorHAnsi" w:hAnsiTheme="majorHAnsi" w:cstheme="majorHAnsi"/>
        </w:rPr>
        <w:t xml:space="preserve">previous three </w:t>
      </w:r>
      <w:r w:rsidR="0049196F" w:rsidRPr="003E45EA">
        <w:rPr>
          <w:rFonts w:asciiTheme="majorHAnsi" w:hAnsiTheme="majorHAnsi" w:cstheme="majorHAnsi"/>
        </w:rPr>
        <w:t>month</w:t>
      </w:r>
      <w:r w:rsidR="00B6686A" w:rsidRPr="003E45EA">
        <w:rPr>
          <w:rFonts w:asciiTheme="majorHAnsi" w:hAnsiTheme="majorHAnsi" w:cstheme="majorHAnsi"/>
        </w:rPr>
        <w:t>s</w:t>
      </w:r>
      <w:r w:rsidR="0049196F" w:rsidRPr="003E45EA">
        <w:rPr>
          <w:rFonts w:asciiTheme="majorHAnsi" w:hAnsiTheme="majorHAnsi" w:cstheme="majorHAnsi"/>
        </w:rPr>
        <w:t>.</w:t>
      </w:r>
      <w:r w:rsidR="009E7EF6" w:rsidRPr="003E45EA">
        <w:rPr>
          <w:rFonts w:asciiTheme="majorHAnsi" w:hAnsiTheme="majorHAnsi" w:cstheme="majorHAnsi"/>
        </w:rPr>
        <w:t xml:space="preserve"> </w:t>
      </w:r>
    </w:p>
    <w:p w14:paraId="593CB94C" w14:textId="6DFA9492" w:rsidR="007A5EA0" w:rsidRDefault="007A5EA0" w:rsidP="000D3366">
      <w:pPr>
        <w:spacing w:before="120" w:after="120"/>
        <w:rPr>
          <w:rFonts w:asciiTheme="majorHAnsi" w:hAnsiTheme="majorHAnsi" w:cstheme="majorHAnsi"/>
        </w:rPr>
      </w:pPr>
      <w:bookmarkStart w:id="1" w:name="_Hlk198287480"/>
      <w:r w:rsidRPr="003E45EA">
        <w:rPr>
          <w:rFonts w:asciiTheme="majorHAnsi" w:hAnsiTheme="majorHAnsi" w:cstheme="majorHAnsi"/>
        </w:rPr>
        <w:lastRenderedPageBreak/>
        <w:t xml:space="preserve">The US 10-year Government bonds closed at </w:t>
      </w:r>
      <w:r w:rsidR="00D70708" w:rsidRPr="003E45EA">
        <w:rPr>
          <w:rFonts w:asciiTheme="majorHAnsi" w:hAnsiTheme="majorHAnsi" w:cstheme="majorHAnsi"/>
          <w:b/>
          <w:bCs/>
        </w:rPr>
        <w:t>4.</w:t>
      </w:r>
      <w:r w:rsidR="004A6175">
        <w:rPr>
          <w:rFonts w:asciiTheme="majorHAnsi" w:hAnsiTheme="majorHAnsi" w:cstheme="majorHAnsi"/>
          <w:b/>
          <w:bCs/>
        </w:rPr>
        <w:t>237</w:t>
      </w:r>
      <w:r w:rsidRPr="003E45EA">
        <w:rPr>
          <w:rFonts w:asciiTheme="majorHAnsi" w:hAnsiTheme="majorHAnsi" w:cstheme="majorHAnsi"/>
          <w:b/>
          <w:bCs/>
        </w:rPr>
        <w:t>%</w:t>
      </w:r>
      <w:r w:rsidRPr="003E45EA">
        <w:rPr>
          <w:rFonts w:asciiTheme="majorHAnsi" w:hAnsiTheme="majorHAnsi" w:cstheme="majorHAnsi"/>
        </w:rPr>
        <w:t xml:space="preserve"> for the </w:t>
      </w:r>
      <w:r w:rsidR="00C175CC" w:rsidRPr="003E45EA">
        <w:rPr>
          <w:rFonts w:asciiTheme="majorHAnsi" w:hAnsiTheme="majorHAnsi" w:cstheme="majorHAnsi"/>
        </w:rPr>
        <w:t>month</w:t>
      </w:r>
      <w:r w:rsidRPr="003E45EA">
        <w:rPr>
          <w:rFonts w:asciiTheme="majorHAnsi" w:hAnsiTheme="majorHAnsi" w:cstheme="majorHAnsi"/>
        </w:rPr>
        <w:t xml:space="preserve"> </w:t>
      </w:r>
      <w:r w:rsidR="004A6175">
        <w:rPr>
          <w:rFonts w:asciiTheme="majorHAnsi" w:hAnsiTheme="majorHAnsi" w:cstheme="majorHAnsi"/>
        </w:rPr>
        <w:t>down</w:t>
      </w:r>
      <w:r w:rsidRPr="003E45EA">
        <w:rPr>
          <w:rFonts w:asciiTheme="majorHAnsi" w:hAnsiTheme="majorHAnsi" w:cstheme="majorHAnsi"/>
        </w:rPr>
        <w:t xml:space="preserve"> in yield (</w:t>
      </w:r>
      <w:r w:rsidR="004A6175">
        <w:rPr>
          <w:rFonts w:asciiTheme="majorHAnsi" w:hAnsiTheme="majorHAnsi" w:cstheme="majorHAnsi"/>
        </w:rPr>
        <w:t>-0.123</w:t>
      </w:r>
      <w:r w:rsidRPr="003E45EA">
        <w:rPr>
          <w:rFonts w:asciiTheme="majorHAnsi" w:hAnsiTheme="majorHAnsi" w:cstheme="majorHAnsi"/>
        </w:rPr>
        <w:t xml:space="preserve">%) from the previous month close of </w:t>
      </w:r>
      <w:r w:rsidR="00DB63F1" w:rsidRPr="003E45EA">
        <w:rPr>
          <w:rFonts w:asciiTheme="majorHAnsi" w:hAnsiTheme="majorHAnsi" w:cstheme="majorHAnsi"/>
        </w:rPr>
        <w:t>4.</w:t>
      </w:r>
      <w:r w:rsidR="004A6175">
        <w:rPr>
          <w:rFonts w:asciiTheme="majorHAnsi" w:hAnsiTheme="majorHAnsi" w:cstheme="majorHAnsi"/>
        </w:rPr>
        <w:t>360</w:t>
      </w:r>
      <w:r w:rsidRPr="003E45EA">
        <w:rPr>
          <w:rFonts w:asciiTheme="majorHAnsi" w:hAnsiTheme="majorHAnsi" w:cstheme="majorHAnsi"/>
        </w:rPr>
        <w:t xml:space="preserve">%. </w:t>
      </w:r>
      <w:r w:rsidR="00E606AC">
        <w:rPr>
          <w:rFonts w:asciiTheme="majorHAnsi" w:hAnsiTheme="majorHAnsi" w:cstheme="majorHAnsi"/>
        </w:rPr>
        <w:t>Currently trading at 4.</w:t>
      </w:r>
      <w:r w:rsidR="004A6175">
        <w:rPr>
          <w:rFonts w:asciiTheme="majorHAnsi" w:hAnsiTheme="majorHAnsi" w:cstheme="majorHAnsi"/>
        </w:rPr>
        <w:t>045</w:t>
      </w:r>
      <w:r w:rsidR="00E606AC">
        <w:rPr>
          <w:rFonts w:asciiTheme="majorHAnsi" w:hAnsiTheme="majorHAnsi" w:cstheme="majorHAnsi"/>
        </w:rPr>
        <w:t>% on the 1</w:t>
      </w:r>
      <w:r w:rsidR="004A6175">
        <w:rPr>
          <w:rFonts w:asciiTheme="majorHAnsi" w:hAnsiTheme="majorHAnsi" w:cstheme="majorHAnsi"/>
        </w:rPr>
        <w:t>6</w:t>
      </w:r>
      <w:r w:rsidR="00E606AC" w:rsidRPr="00E606AC">
        <w:rPr>
          <w:rFonts w:asciiTheme="majorHAnsi" w:hAnsiTheme="majorHAnsi" w:cstheme="majorHAnsi"/>
          <w:vertAlign w:val="superscript"/>
        </w:rPr>
        <w:t>th</w:t>
      </w:r>
      <w:r w:rsidR="00D0353E">
        <w:rPr>
          <w:rFonts w:asciiTheme="majorHAnsi" w:hAnsiTheme="majorHAnsi" w:cstheme="majorHAnsi"/>
          <w:vertAlign w:val="superscript"/>
        </w:rPr>
        <w:t xml:space="preserve"> of</w:t>
      </w:r>
      <w:r w:rsidR="00E606AC">
        <w:rPr>
          <w:rFonts w:asciiTheme="majorHAnsi" w:hAnsiTheme="majorHAnsi" w:cstheme="majorHAnsi"/>
        </w:rPr>
        <w:t xml:space="preserve"> </w:t>
      </w:r>
      <w:r w:rsidR="004A6175">
        <w:rPr>
          <w:rFonts w:asciiTheme="majorHAnsi" w:hAnsiTheme="majorHAnsi" w:cstheme="majorHAnsi"/>
        </w:rPr>
        <w:t>September</w:t>
      </w:r>
      <w:r w:rsidR="00E606AC">
        <w:rPr>
          <w:rFonts w:asciiTheme="majorHAnsi" w:hAnsiTheme="majorHAnsi" w:cstheme="majorHAnsi"/>
        </w:rPr>
        <w:t xml:space="preserve"> 2025.</w:t>
      </w:r>
    </w:p>
    <w:bookmarkEnd w:id="1"/>
    <w:p w14:paraId="5700F3F2" w14:textId="7D3C0521" w:rsidR="000D3366" w:rsidRPr="003E45EA" w:rsidRDefault="00D1659A" w:rsidP="007A5EA0">
      <w:pPr>
        <w:spacing w:before="120" w:after="120" w:line="240" w:lineRule="auto"/>
        <w:rPr>
          <w:rFonts w:asciiTheme="majorHAnsi" w:hAnsiTheme="majorHAnsi" w:cstheme="majorHAnsi"/>
        </w:rPr>
      </w:pPr>
      <w:r w:rsidRPr="00D1659A">
        <w:rPr>
          <w:rFonts w:asciiTheme="majorHAnsi" w:hAnsiTheme="majorHAnsi" w:cstheme="majorHAnsi"/>
          <w:noProof/>
        </w:rPr>
        <w:drawing>
          <wp:inline distT="0" distB="0" distL="0" distR="0" wp14:anchorId="4B9E1C57" wp14:editId="38FEA632">
            <wp:extent cx="2729138" cy="2321491"/>
            <wp:effectExtent l="0" t="0" r="0" b="3175"/>
            <wp:docPr id="3608596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2977" cy="2324757"/>
                    </a:xfrm>
                    <a:prstGeom prst="rect">
                      <a:avLst/>
                    </a:prstGeom>
                    <a:noFill/>
                    <a:ln>
                      <a:noFill/>
                    </a:ln>
                  </pic:spPr>
                </pic:pic>
              </a:graphicData>
            </a:graphic>
          </wp:inline>
        </w:drawing>
      </w:r>
      <w:r w:rsidR="004E1BA8" w:rsidRPr="004E1BA8">
        <w:rPr>
          <w:rFonts w:asciiTheme="majorHAnsi" w:hAnsiTheme="majorHAnsi" w:cstheme="majorHAnsi"/>
        </w:rPr>
        <w:t xml:space="preserve"> </w:t>
      </w:r>
      <w:r w:rsidRPr="00D1659A">
        <w:rPr>
          <w:rFonts w:asciiTheme="majorHAnsi" w:hAnsiTheme="majorHAnsi" w:cstheme="majorHAnsi"/>
          <w:noProof/>
        </w:rPr>
        <w:drawing>
          <wp:inline distT="0" distB="0" distL="0" distR="0" wp14:anchorId="6F1663E9" wp14:editId="3162C920">
            <wp:extent cx="2816535" cy="2271386"/>
            <wp:effectExtent l="0" t="0" r="3175" b="0"/>
            <wp:docPr id="606779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0999" cy="2274986"/>
                    </a:xfrm>
                    <a:prstGeom prst="rect">
                      <a:avLst/>
                    </a:prstGeom>
                    <a:noFill/>
                    <a:ln>
                      <a:noFill/>
                    </a:ln>
                  </pic:spPr>
                </pic:pic>
              </a:graphicData>
            </a:graphic>
          </wp:inline>
        </w:drawing>
      </w:r>
    </w:p>
    <w:p w14:paraId="0988FFF2" w14:textId="77777777" w:rsidR="009E7EF6" w:rsidRPr="003E45EA" w:rsidRDefault="009E7EF6" w:rsidP="00A70A09">
      <w:pPr>
        <w:pStyle w:val="Heading2"/>
        <w:spacing w:before="0" w:after="0"/>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Currency</w:t>
      </w:r>
    </w:p>
    <w:p w14:paraId="67CFAFAB" w14:textId="6786728D" w:rsidR="009E7EF6" w:rsidRPr="003E45EA" w:rsidRDefault="009E7EF6" w:rsidP="00A70A09">
      <w:pPr>
        <w:spacing w:before="0" w:after="0"/>
        <w:rPr>
          <w:rFonts w:asciiTheme="majorHAnsi" w:hAnsiTheme="majorHAnsi" w:cstheme="majorHAnsi"/>
        </w:rPr>
      </w:pPr>
      <w:r w:rsidRPr="003E45EA">
        <w:rPr>
          <w:rFonts w:asciiTheme="majorHAnsi" w:hAnsiTheme="majorHAnsi" w:cstheme="majorHAnsi"/>
        </w:rPr>
        <w:t xml:space="preserve">The </w:t>
      </w:r>
      <w:r w:rsidR="00590B4A" w:rsidRPr="003E45EA">
        <w:rPr>
          <w:rFonts w:asciiTheme="majorHAnsi" w:hAnsiTheme="majorHAnsi" w:cstheme="majorHAnsi"/>
        </w:rPr>
        <w:t>$</w:t>
      </w:r>
      <w:r w:rsidRPr="003E45EA">
        <w:rPr>
          <w:rFonts w:asciiTheme="majorHAnsi" w:hAnsiTheme="majorHAnsi" w:cstheme="majorHAnsi"/>
        </w:rPr>
        <w:t xml:space="preserve">A closed </w:t>
      </w:r>
      <w:r w:rsidR="004A6175">
        <w:rPr>
          <w:rFonts w:asciiTheme="majorHAnsi" w:hAnsiTheme="majorHAnsi" w:cstheme="majorHAnsi"/>
        </w:rPr>
        <w:t>strong</w:t>
      </w:r>
      <w:r w:rsidR="006956CE" w:rsidRPr="003E45EA">
        <w:rPr>
          <w:rFonts w:asciiTheme="majorHAnsi" w:hAnsiTheme="majorHAnsi" w:cstheme="majorHAnsi"/>
        </w:rPr>
        <w:t>er</w:t>
      </w:r>
      <w:r w:rsidR="009B1992" w:rsidRPr="003E45EA">
        <w:rPr>
          <w:rFonts w:asciiTheme="majorHAnsi" w:hAnsiTheme="majorHAnsi" w:cstheme="majorHAnsi"/>
        </w:rPr>
        <w:t xml:space="preserve"> </w:t>
      </w:r>
      <w:r w:rsidR="00590B4A" w:rsidRPr="003E45EA">
        <w:rPr>
          <w:rFonts w:asciiTheme="majorHAnsi" w:hAnsiTheme="majorHAnsi" w:cstheme="majorHAnsi"/>
        </w:rPr>
        <w:t xml:space="preserve">AUD/USD </w:t>
      </w:r>
      <w:r w:rsidRPr="003E45EA">
        <w:rPr>
          <w:rFonts w:asciiTheme="majorHAnsi" w:hAnsiTheme="majorHAnsi" w:cstheme="majorHAnsi"/>
        </w:rPr>
        <w:t>0.</w:t>
      </w:r>
      <w:r w:rsidR="003638C4" w:rsidRPr="003E45EA">
        <w:rPr>
          <w:rFonts w:asciiTheme="majorHAnsi" w:hAnsiTheme="majorHAnsi" w:cstheme="majorHAnsi"/>
        </w:rPr>
        <w:t>6</w:t>
      </w:r>
      <w:r w:rsidR="004A6175">
        <w:rPr>
          <w:rFonts w:asciiTheme="majorHAnsi" w:hAnsiTheme="majorHAnsi" w:cstheme="majorHAnsi"/>
        </w:rPr>
        <w:t>538</w:t>
      </w:r>
      <w:r w:rsidRPr="003E45EA">
        <w:rPr>
          <w:rFonts w:asciiTheme="majorHAnsi" w:hAnsiTheme="majorHAnsi" w:cstheme="majorHAnsi"/>
        </w:rPr>
        <w:t xml:space="preserve"> at the end of </w:t>
      </w:r>
      <w:r w:rsidR="004A6175">
        <w:rPr>
          <w:rFonts w:asciiTheme="majorHAnsi" w:hAnsiTheme="majorHAnsi" w:cstheme="majorHAnsi"/>
        </w:rPr>
        <w:t>August</w:t>
      </w:r>
      <w:r w:rsidR="00AA627D" w:rsidRPr="003E45EA">
        <w:rPr>
          <w:rFonts w:asciiTheme="majorHAnsi" w:hAnsiTheme="majorHAnsi" w:cstheme="majorHAnsi"/>
        </w:rPr>
        <w:t xml:space="preserve"> 202</w:t>
      </w:r>
      <w:r w:rsidR="00D0466A" w:rsidRPr="003E45EA">
        <w:rPr>
          <w:rFonts w:asciiTheme="majorHAnsi" w:hAnsiTheme="majorHAnsi" w:cstheme="majorHAnsi"/>
        </w:rPr>
        <w:t>5</w:t>
      </w:r>
      <w:r w:rsidRPr="003E45EA">
        <w:rPr>
          <w:rFonts w:asciiTheme="majorHAnsi" w:hAnsiTheme="majorHAnsi" w:cstheme="majorHAnsi"/>
        </w:rPr>
        <w:t xml:space="preserve"> which </w:t>
      </w:r>
      <w:r w:rsidR="00811CBE" w:rsidRPr="003E45EA">
        <w:rPr>
          <w:rFonts w:asciiTheme="majorHAnsi" w:hAnsiTheme="majorHAnsi" w:cstheme="majorHAnsi"/>
        </w:rPr>
        <w:t xml:space="preserve">was </w:t>
      </w:r>
      <w:r w:rsidR="004A6175">
        <w:rPr>
          <w:rFonts w:asciiTheme="majorHAnsi" w:hAnsiTheme="majorHAnsi" w:cstheme="majorHAnsi"/>
        </w:rPr>
        <w:t>nega</w:t>
      </w:r>
      <w:r w:rsidR="00D1659A">
        <w:rPr>
          <w:rFonts w:asciiTheme="majorHAnsi" w:hAnsiTheme="majorHAnsi" w:cstheme="majorHAnsi"/>
        </w:rPr>
        <w:t>t</w:t>
      </w:r>
      <w:r w:rsidR="000163D4" w:rsidRPr="003E45EA">
        <w:rPr>
          <w:rFonts w:asciiTheme="majorHAnsi" w:hAnsiTheme="majorHAnsi" w:cstheme="majorHAnsi"/>
        </w:rPr>
        <w:t>ive</w:t>
      </w:r>
      <w:r w:rsidR="00811CBE" w:rsidRPr="003E45EA">
        <w:rPr>
          <w:rFonts w:asciiTheme="majorHAnsi" w:hAnsiTheme="majorHAnsi" w:cstheme="majorHAnsi"/>
        </w:rPr>
        <w:t xml:space="preserve"> </w:t>
      </w:r>
      <w:r w:rsidR="00D1659A">
        <w:rPr>
          <w:rFonts w:asciiTheme="majorHAnsi" w:hAnsiTheme="majorHAnsi" w:cstheme="majorHAnsi"/>
        </w:rPr>
        <w:t>for</w:t>
      </w:r>
      <w:r w:rsidR="00811CBE" w:rsidRPr="003E45EA">
        <w:rPr>
          <w:rFonts w:asciiTheme="majorHAnsi" w:hAnsiTheme="majorHAnsi" w:cstheme="majorHAnsi"/>
        </w:rPr>
        <w:t xml:space="preserve"> </w:t>
      </w:r>
      <w:r w:rsidR="00A72332" w:rsidRPr="003E45EA">
        <w:rPr>
          <w:rFonts w:asciiTheme="majorHAnsi" w:hAnsiTheme="majorHAnsi" w:cstheme="majorHAnsi"/>
        </w:rPr>
        <w:t>returns for</w:t>
      </w:r>
      <w:r w:rsidRPr="003E45EA">
        <w:rPr>
          <w:rFonts w:asciiTheme="majorHAnsi" w:hAnsiTheme="majorHAnsi" w:cstheme="majorHAnsi"/>
        </w:rPr>
        <w:t xml:space="preserve"> investors who held offshore assets unhedged (</w:t>
      </w:r>
      <w:r w:rsidR="004A6175">
        <w:rPr>
          <w:rFonts w:asciiTheme="majorHAnsi" w:hAnsiTheme="majorHAnsi" w:cstheme="majorHAnsi"/>
        </w:rPr>
        <w:t>-1.07</w:t>
      </w:r>
      <w:r w:rsidRPr="003E45EA">
        <w:rPr>
          <w:rFonts w:asciiTheme="majorHAnsi" w:hAnsiTheme="majorHAnsi" w:cstheme="majorHAnsi"/>
        </w:rPr>
        <w:t xml:space="preserve">%) over the </w:t>
      </w:r>
      <w:r w:rsidR="00CE6ADD" w:rsidRPr="003E45EA">
        <w:rPr>
          <w:rFonts w:asciiTheme="majorHAnsi" w:hAnsiTheme="majorHAnsi" w:cstheme="majorHAnsi"/>
        </w:rPr>
        <w:t xml:space="preserve">month </w:t>
      </w:r>
      <w:r w:rsidR="00DE0182" w:rsidRPr="003E45EA">
        <w:rPr>
          <w:rFonts w:asciiTheme="majorHAnsi" w:hAnsiTheme="majorHAnsi" w:cstheme="majorHAnsi"/>
        </w:rPr>
        <w:t>and</w:t>
      </w:r>
      <w:r w:rsidR="00CA7193" w:rsidRPr="003E45EA">
        <w:rPr>
          <w:rFonts w:asciiTheme="majorHAnsi" w:hAnsiTheme="majorHAnsi" w:cstheme="majorHAnsi"/>
        </w:rPr>
        <w:t xml:space="preserve"> </w:t>
      </w:r>
      <w:r w:rsidR="00CE6ADD" w:rsidRPr="003E45EA">
        <w:rPr>
          <w:rFonts w:asciiTheme="majorHAnsi" w:hAnsiTheme="majorHAnsi" w:cstheme="majorHAnsi"/>
        </w:rPr>
        <w:t>(</w:t>
      </w:r>
      <w:r w:rsidR="004A6175">
        <w:rPr>
          <w:rFonts w:asciiTheme="majorHAnsi" w:hAnsiTheme="majorHAnsi" w:cstheme="majorHAnsi"/>
        </w:rPr>
        <w:t>+3.94</w:t>
      </w:r>
      <w:r w:rsidR="00CE6ADD" w:rsidRPr="003E45EA">
        <w:rPr>
          <w:rFonts w:asciiTheme="majorHAnsi" w:hAnsiTheme="majorHAnsi" w:cstheme="majorHAnsi"/>
        </w:rPr>
        <w:t>%</w:t>
      </w:r>
      <w:r w:rsidR="0088021D" w:rsidRPr="003E45EA">
        <w:rPr>
          <w:rFonts w:asciiTheme="majorHAnsi" w:hAnsiTheme="majorHAnsi" w:cstheme="majorHAnsi"/>
        </w:rPr>
        <w:t>)</w:t>
      </w:r>
      <w:r w:rsidR="00CE6ADD" w:rsidRPr="003E45EA">
        <w:rPr>
          <w:rFonts w:asciiTheme="majorHAnsi" w:hAnsiTheme="majorHAnsi" w:cstheme="majorHAnsi"/>
        </w:rPr>
        <w:t xml:space="preserve"> </w:t>
      </w:r>
      <w:r w:rsidR="0088021D" w:rsidRPr="003E45EA">
        <w:rPr>
          <w:rFonts w:asciiTheme="majorHAnsi" w:hAnsiTheme="majorHAnsi" w:cstheme="majorHAnsi"/>
        </w:rPr>
        <w:t xml:space="preserve">over the </w:t>
      </w:r>
      <w:r w:rsidRPr="003E45EA">
        <w:rPr>
          <w:rFonts w:asciiTheme="majorHAnsi" w:hAnsiTheme="majorHAnsi" w:cstheme="majorHAnsi"/>
        </w:rPr>
        <w:t>last three months.</w:t>
      </w:r>
    </w:p>
    <w:p w14:paraId="61BE8DE3" w14:textId="01ABE75B" w:rsidR="004D2D2C" w:rsidRPr="003E45EA" w:rsidRDefault="00AF67EB" w:rsidP="00AF67EB">
      <w:pPr>
        <w:rPr>
          <w:rFonts w:asciiTheme="majorHAnsi" w:hAnsiTheme="majorHAnsi" w:cstheme="majorHAnsi"/>
        </w:rPr>
      </w:pPr>
      <w:r w:rsidRPr="003E45EA">
        <w:rPr>
          <w:rFonts w:asciiTheme="majorHAnsi" w:hAnsiTheme="majorHAnsi" w:cstheme="majorHAnsi"/>
          <w:noProof/>
        </w:rPr>
        <mc:AlternateContent>
          <mc:Choice Requires="wps">
            <w:drawing>
              <wp:anchor distT="45720" distB="45720" distL="114300" distR="114300" simplePos="0" relativeHeight="251659264" behindDoc="0" locked="0" layoutInCell="1" allowOverlap="1" wp14:anchorId="674A7F81" wp14:editId="52E13CB0">
                <wp:simplePos x="0" y="0"/>
                <wp:positionH relativeFrom="column">
                  <wp:posOffset>3281680</wp:posOffset>
                </wp:positionH>
                <wp:positionV relativeFrom="paragraph">
                  <wp:posOffset>168275</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margin-left:258.4pt;margin-top:13.25pt;width:171.9pt;height:14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" fillcolor="white [3201]" strokecolor="#414042 [3200]" strokeweight="1pt">
                <v:textbo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v:textbox>
                <w10:wrap type="square"/>
              </v:shape>
            </w:pict>
          </mc:Fallback>
        </mc:AlternateContent>
      </w:r>
      <w:r w:rsidR="00505DDC" w:rsidRPr="00505DDC">
        <w:rPr>
          <w:rFonts w:asciiTheme="majorHAnsi" w:hAnsiTheme="majorHAnsi" w:cstheme="majorHAnsi"/>
          <w:noProof/>
        </w:rPr>
        <w:drawing>
          <wp:inline distT="0" distB="0" distL="0" distR="0" wp14:anchorId="42A0F20C" wp14:editId="355464CD">
            <wp:extent cx="2570975" cy="2121073"/>
            <wp:effectExtent l="0" t="0" r="1270" b="0"/>
            <wp:docPr id="673118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4630" cy="2124088"/>
                    </a:xfrm>
                    <a:prstGeom prst="rect">
                      <a:avLst/>
                    </a:prstGeom>
                    <a:noFill/>
                    <a:ln>
                      <a:noFill/>
                    </a:ln>
                  </pic:spPr>
                </pic:pic>
              </a:graphicData>
            </a:graphic>
          </wp:inline>
        </w:drawing>
      </w:r>
    </w:p>
    <w:p w14:paraId="178A1257" w14:textId="6745915C" w:rsidR="009E7EF6" w:rsidRPr="003E45EA" w:rsidRDefault="009E7EF6" w:rsidP="006B4F76">
      <w:pPr>
        <w:pStyle w:val="Heading2"/>
        <w:spacing w:before="0"/>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Australian Economy</w:t>
      </w:r>
    </w:p>
    <w:p w14:paraId="26EE5924" w14:textId="30B92C6E" w:rsidR="009E7EF6" w:rsidRPr="003E45EA" w:rsidRDefault="00E83078" w:rsidP="00A70A09">
      <w:pPr>
        <w:spacing w:before="0" w:after="240"/>
        <w:rPr>
          <w:rFonts w:asciiTheme="majorHAnsi" w:hAnsiTheme="majorHAnsi" w:cstheme="majorHAnsi"/>
        </w:rPr>
      </w:pPr>
      <w:r w:rsidRPr="003E45EA">
        <w:rPr>
          <w:rFonts w:asciiTheme="majorHAnsi" w:hAnsiTheme="majorHAnsi" w:cstheme="majorHAnsi"/>
        </w:rPr>
        <w:t>Australia’s latest GDP data for the</w:t>
      </w:r>
      <w:r w:rsidR="00CF265D" w:rsidRPr="003E45EA">
        <w:rPr>
          <w:rFonts w:asciiTheme="majorHAnsi" w:hAnsiTheme="majorHAnsi" w:cstheme="majorHAnsi"/>
        </w:rPr>
        <w:t xml:space="preserve"> </w:t>
      </w:r>
      <w:r w:rsidR="004A6175">
        <w:rPr>
          <w:rFonts w:asciiTheme="majorHAnsi" w:hAnsiTheme="majorHAnsi" w:cstheme="majorHAnsi"/>
        </w:rPr>
        <w:t>second</w:t>
      </w:r>
      <w:r w:rsidRPr="003E45EA">
        <w:rPr>
          <w:rFonts w:asciiTheme="majorHAnsi" w:hAnsiTheme="majorHAnsi" w:cstheme="majorHAnsi"/>
        </w:rPr>
        <w:t xml:space="preserve"> quarter of 202</w:t>
      </w:r>
      <w:r w:rsidR="004A6175">
        <w:rPr>
          <w:rFonts w:asciiTheme="majorHAnsi" w:hAnsiTheme="majorHAnsi" w:cstheme="majorHAnsi"/>
        </w:rPr>
        <w:t>5</w:t>
      </w:r>
      <w:r w:rsidRPr="003E45EA">
        <w:rPr>
          <w:rFonts w:asciiTheme="majorHAnsi" w:hAnsiTheme="majorHAnsi" w:cstheme="majorHAnsi"/>
        </w:rPr>
        <w:t xml:space="preserve"> revealed an </w:t>
      </w:r>
      <w:r w:rsidRPr="003E45EA">
        <w:rPr>
          <w:rFonts w:asciiTheme="majorHAnsi" w:hAnsiTheme="majorHAnsi" w:cstheme="majorHAnsi"/>
          <w:b/>
          <w:bCs/>
        </w:rPr>
        <w:t xml:space="preserve">annual growth rate of </w:t>
      </w:r>
      <w:r w:rsidR="00275E99" w:rsidRPr="003E45EA">
        <w:rPr>
          <w:rFonts w:asciiTheme="majorHAnsi" w:hAnsiTheme="majorHAnsi" w:cstheme="majorHAnsi"/>
          <w:b/>
          <w:bCs/>
        </w:rPr>
        <w:t>1.</w:t>
      </w:r>
      <w:r w:rsidR="004A6175">
        <w:rPr>
          <w:rFonts w:asciiTheme="majorHAnsi" w:hAnsiTheme="majorHAnsi" w:cstheme="majorHAnsi"/>
          <w:b/>
          <w:bCs/>
        </w:rPr>
        <w:t>8</w:t>
      </w:r>
      <w:r w:rsidRPr="003E45EA">
        <w:rPr>
          <w:rFonts w:asciiTheme="majorHAnsi" w:hAnsiTheme="majorHAnsi" w:cstheme="majorHAnsi"/>
          <w:b/>
          <w:bCs/>
        </w:rPr>
        <w:t>%</w:t>
      </w:r>
      <w:r w:rsidRPr="003E45EA">
        <w:rPr>
          <w:rFonts w:asciiTheme="majorHAnsi" w:hAnsiTheme="majorHAnsi" w:cstheme="majorHAnsi"/>
        </w:rPr>
        <w:t xml:space="preserve"> which was </w:t>
      </w:r>
      <w:r w:rsidR="004A6175">
        <w:rPr>
          <w:rFonts w:asciiTheme="majorHAnsi" w:hAnsiTheme="majorHAnsi" w:cstheme="majorHAnsi"/>
        </w:rPr>
        <w:t>up from 1.3%</w:t>
      </w:r>
      <w:r w:rsidR="009C7D80">
        <w:rPr>
          <w:rFonts w:asciiTheme="majorHAnsi" w:hAnsiTheme="majorHAnsi" w:cstheme="majorHAnsi"/>
        </w:rPr>
        <w:t xml:space="preserve"> </w:t>
      </w:r>
      <w:r w:rsidR="001F699A" w:rsidRPr="003E45EA">
        <w:rPr>
          <w:rFonts w:asciiTheme="majorHAnsi" w:hAnsiTheme="majorHAnsi" w:cstheme="majorHAnsi"/>
        </w:rPr>
        <w:t xml:space="preserve">in the </w:t>
      </w:r>
      <w:r w:rsidR="009C7D80">
        <w:rPr>
          <w:rFonts w:asciiTheme="majorHAnsi" w:hAnsiTheme="majorHAnsi" w:cstheme="majorHAnsi"/>
        </w:rPr>
        <w:t>first</w:t>
      </w:r>
      <w:r w:rsidRPr="003E45EA">
        <w:rPr>
          <w:rFonts w:asciiTheme="majorHAnsi" w:hAnsiTheme="majorHAnsi" w:cstheme="majorHAnsi"/>
        </w:rPr>
        <w:t xml:space="preserve"> </w:t>
      </w:r>
      <w:r w:rsidR="00505DDC">
        <w:rPr>
          <w:rFonts w:asciiTheme="majorHAnsi" w:hAnsiTheme="majorHAnsi" w:cstheme="majorHAnsi"/>
        </w:rPr>
        <w:t xml:space="preserve">quarter </w:t>
      </w:r>
      <w:r w:rsidRPr="003E45EA">
        <w:rPr>
          <w:rFonts w:asciiTheme="majorHAnsi" w:hAnsiTheme="majorHAnsi" w:cstheme="majorHAnsi"/>
        </w:rPr>
        <w:t>of 202</w:t>
      </w:r>
      <w:r w:rsidR="009C7D80">
        <w:rPr>
          <w:rFonts w:asciiTheme="majorHAnsi" w:hAnsiTheme="majorHAnsi" w:cstheme="majorHAnsi"/>
        </w:rPr>
        <w:t>5</w:t>
      </w:r>
      <w:r w:rsidR="002656F2" w:rsidRPr="003E45EA">
        <w:rPr>
          <w:rFonts w:asciiTheme="majorHAnsi" w:hAnsiTheme="majorHAnsi" w:cstheme="majorHAnsi"/>
        </w:rPr>
        <w:t>.</w:t>
      </w:r>
      <w:r w:rsidRPr="003E45EA">
        <w:rPr>
          <w:rFonts w:asciiTheme="majorHAnsi" w:hAnsiTheme="majorHAnsi" w:cstheme="majorHAnsi"/>
        </w:rPr>
        <w:t xml:space="preserve"> Unemployment </w:t>
      </w:r>
      <w:r w:rsidR="009A724B" w:rsidRPr="003E45EA">
        <w:rPr>
          <w:rFonts w:asciiTheme="majorHAnsi" w:hAnsiTheme="majorHAnsi" w:cstheme="majorHAnsi"/>
        </w:rPr>
        <w:t xml:space="preserve">was </w:t>
      </w:r>
      <w:r w:rsidR="00505DDC">
        <w:rPr>
          <w:rFonts w:asciiTheme="majorHAnsi" w:hAnsiTheme="majorHAnsi" w:cstheme="majorHAnsi"/>
        </w:rPr>
        <w:t xml:space="preserve">down to </w:t>
      </w:r>
      <w:r w:rsidR="003B014A" w:rsidRPr="003E45EA">
        <w:rPr>
          <w:rFonts w:asciiTheme="majorHAnsi" w:hAnsiTheme="majorHAnsi" w:cstheme="majorHAnsi"/>
        </w:rPr>
        <w:t>4.</w:t>
      </w:r>
      <w:r w:rsidR="00505DDC">
        <w:rPr>
          <w:rFonts w:asciiTheme="majorHAnsi" w:hAnsiTheme="majorHAnsi" w:cstheme="majorHAnsi"/>
        </w:rPr>
        <w:t>2</w:t>
      </w:r>
      <w:r w:rsidR="00481C63" w:rsidRPr="003E45EA">
        <w:rPr>
          <w:rFonts w:asciiTheme="majorHAnsi" w:hAnsiTheme="majorHAnsi" w:cstheme="majorHAnsi"/>
        </w:rPr>
        <w:t xml:space="preserve">% </w:t>
      </w:r>
      <w:r w:rsidRPr="003E45EA">
        <w:rPr>
          <w:rFonts w:asciiTheme="majorHAnsi" w:hAnsiTheme="majorHAnsi" w:cstheme="majorHAnsi"/>
        </w:rPr>
        <w:t xml:space="preserve">in </w:t>
      </w:r>
      <w:r w:rsidR="009C7D80">
        <w:rPr>
          <w:rFonts w:asciiTheme="majorHAnsi" w:hAnsiTheme="majorHAnsi" w:cstheme="majorHAnsi"/>
        </w:rPr>
        <w:t>Ju</w:t>
      </w:r>
      <w:r w:rsidR="00505DDC">
        <w:rPr>
          <w:rFonts w:asciiTheme="majorHAnsi" w:hAnsiTheme="majorHAnsi" w:cstheme="majorHAnsi"/>
        </w:rPr>
        <w:t>ly</w:t>
      </w:r>
      <w:r w:rsidRPr="003E45EA">
        <w:rPr>
          <w:rFonts w:asciiTheme="majorHAnsi" w:hAnsiTheme="majorHAnsi" w:cstheme="majorHAnsi"/>
        </w:rPr>
        <w:t xml:space="preserve"> 202</w:t>
      </w:r>
      <w:r w:rsidR="00275E99" w:rsidRPr="003E45EA">
        <w:rPr>
          <w:rFonts w:asciiTheme="majorHAnsi" w:hAnsiTheme="majorHAnsi" w:cstheme="majorHAnsi"/>
        </w:rPr>
        <w:t>5</w:t>
      </w:r>
      <w:r w:rsidR="009C7D80">
        <w:rPr>
          <w:rFonts w:asciiTheme="majorHAnsi" w:hAnsiTheme="majorHAnsi" w:cstheme="majorHAnsi"/>
        </w:rPr>
        <w:t xml:space="preserve"> from 4.</w:t>
      </w:r>
      <w:r w:rsidR="00505DDC">
        <w:rPr>
          <w:rFonts w:asciiTheme="majorHAnsi" w:hAnsiTheme="majorHAnsi" w:cstheme="majorHAnsi"/>
        </w:rPr>
        <w:t>3</w:t>
      </w:r>
      <w:r w:rsidR="009C7D80">
        <w:rPr>
          <w:rFonts w:asciiTheme="majorHAnsi" w:hAnsiTheme="majorHAnsi" w:cstheme="majorHAnsi"/>
        </w:rPr>
        <w:t xml:space="preserve">% in </w:t>
      </w:r>
      <w:r w:rsidR="00505DDC">
        <w:rPr>
          <w:rFonts w:asciiTheme="majorHAnsi" w:hAnsiTheme="majorHAnsi" w:cstheme="majorHAnsi"/>
        </w:rPr>
        <w:t>June</w:t>
      </w:r>
      <w:r w:rsidR="009C7D80">
        <w:rPr>
          <w:rFonts w:asciiTheme="majorHAnsi" w:hAnsiTheme="majorHAnsi" w:cstheme="majorHAnsi"/>
        </w:rPr>
        <w:t xml:space="preserve"> 2025</w:t>
      </w:r>
      <w:r w:rsidR="009A724B" w:rsidRPr="003E45EA">
        <w:rPr>
          <w:rFonts w:asciiTheme="majorHAnsi" w:hAnsiTheme="majorHAnsi" w:cstheme="majorHAnsi"/>
        </w:rPr>
        <w:t>.</w:t>
      </w:r>
      <w:r w:rsidRPr="003E45EA">
        <w:rPr>
          <w:rFonts w:asciiTheme="majorHAnsi" w:hAnsiTheme="majorHAnsi" w:cstheme="majorHAnsi"/>
        </w:rPr>
        <w:t xml:space="preserve"> The </w:t>
      </w:r>
      <w:r w:rsidR="00642BAE" w:rsidRPr="003E45EA">
        <w:rPr>
          <w:rFonts w:asciiTheme="majorHAnsi" w:hAnsiTheme="majorHAnsi" w:cstheme="majorHAnsi"/>
        </w:rPr>
        <w:t xml:space="preserve">Y-O-Y </w:t>
      </w:r>
      <w:r w:rsidR="001918FE" w:rsidRPr="003E45EA">
        <w:rPr>
          <w:rFonts w:asciiTheme="majorHAnsi" w:hAnsiTheme="majorHAnsi" w:cstheme="majorHAnsi"/>
          <w:b/>
          <w:bCs/>
        </w:rPr>
        <w:t xml:space="preserve">inflation rate </w:t>
      </w:r>
      <w:r w:rsidR="009A724B" w:rsidRPr="003E45EA">
        <w:rPr>
          <w:rFonts w:asciiTheme="majorHAnsi" w:hAnsiTheme="majorHAnsi" w:cstheme="majorHAnsi"/>
          <w:b/>
          <w:bCs/>
        </w:rPr>
        <w:t>held steady at</w:t>
      </w:r>
      <w:r w:rsidR="001918FE" w:rsidRPr="003E45EA">
        <w:rPr>
          <w:rFonts w:asciiTheme="majorHAnsi" w:hAnsiTheme="majorHAnsi" w:cstheme="majorHAnsi"/>
          <w:b/>
          <w:bCs/>
        </w:rPr>
        <w:t xml:space="preserve"> </w:t>
      </w:r>
      <w:r w:rsidR="004916DD" w:rsidRPr="003E45EA">
        <w:rPr>
          <w:rFonts w:asciiTheme="majorHAnsi" w:hAnsiTheme="majorHAnsi" w:cstheme="majorHAnsi"/>
          <w:b/>
          <w:bCs/>
        </w:rPr>
        <w:t>2</w:t>
      </w:r>
      <w:r w:rsidR="00A7764C" w:rsidRPr="003E45EA">
        <w:rPr>
          <w:rFonts w:asciiTheme="majorHAnsi" w:hAnsiTheme="majorHAnsi" w:cstheme="majorHAnsi"/>
          <w:b/>
          <w:bCs/>
        </w:rPr>
        <w:t>.</w:t>
      </w:r>
      <w:r w:rsidR="00505DDC">
        <w:rPr>
          <w:rFonts w:asciiTheme="majorHAnsi" w:hAnsiTheme="majorHAnsi" w:cstheme="majorHAnsi"/>
          <w:b/>
          <w:bCs/>
        </w:rPr>
        <w:t>1</w:t>
      </w:r>
      <w:r w:rsidR="001918FE" w:rsidRPr="003E45EA">
        <w:rPr>
          <w:rFonts w:asciiTheme="majorHAnsi" w:hAnsiTheme="majorHAnsi" w:cstheme="majorHAnsi"/>
          <w:b/>
          <w:bCs/>
        </w:rPr>
        <w:t>%</w:t>
      </w:r>
      <w:r w:rsidR="001918FE" w:rsidRPr="003E45EA">
        <w:rPr>
          <w:rFonts w:asciiTheme="majorHAnsi" w:hAnsiTheme="majorHAnsi" w:cstheme="majorHAnsi"/>
        </w:rPr>
        <w:t xml:space="preserve"> in the </w:t>
      </w:r>
      <w:r w:rsidR="00505DDC">
        <w:rPr>
          <w:rFonts w:asciiTheme="majorHAnsi" w:hAnsiTheme="majorHAnsi" w:cstheme="majorHAnsi"/>
        </w:rPr>
        <w:t>second</w:t>
      </w:r>
      <w:r w:rsidR="001918FE" w:rsidRPr="003E45EA">
        <w:rPr>
          <w:rFonts w:asciiTheme="majorHAnsi" w:hAnsiTheme="majorHAnsi" w:cstheme="majorHAnsi"/>
        </w:rPr>
        <w:t xml:space="preserve"> quarter of 202</w:t>
      </w:r>
      <w:r w:rsidR="009A724B" w:rsidRPr="003E45EA">
        <w:rPr>
          <w:rFonts w:asciiTheme="majorHAnsi" w:hAnsiTheme="majorHAnsi" w:cstheme="majorHAnsi"/>
        </w:rPr>
        <w:t>5</w:t>
      </w:r>
      <w:r w:rsidR="001918FE" w:rsidRPr="003E45EA">
        <w:rPr>
          <w:rFonts w:asciiTheme="majorHAnsi" w:hAnsiTheme="majorHAnsi" w:cstheme="majorHAnsi"/>
        </w:rPr>
        <w:t xml:space="preserve"> </w:t>
      </w:r>
      <w:r w:rsidR="00505DDC">
        <w:rPr>
          <w:rFonts w:asciiTheme="majorHAnsi" w:hAnsiTheme="majorHAnsi" w:cstheme="majorHAnsi"/>
        </w:rPr>
        <w:t>down</w:t>
      </w:r>
      <w:r w:rsidR="009A724B" w:rsidRPr="003E45EA">
        <w:rPr>
          <w:rFonts w:asciiTheme="majorHAnsi" w:hAnsiTheme="majorHAnsi" w:cstheme="majorHAnsi"/>
        </w:rPr>
        <w:t xml:space="preserve"> from </w:t>
      </w:r>
      <w:r w:rsidR="004A6175">
        <w:rPr>
          <w:rFonts w:asciiTheme="majorHAnsi" w:hAnsiTheme="majorHAnsi" w:cstheme="majorHAnsi"/>
        </w:rPr>
        <w:t xml:space="preserve">2.4% in </w:t>
      </w:r>
      <w:r w:rsidR="009A724B" w:rsidRPr="003E45EA">
        <w:rPr>
          <w:rFonts w:asciiTheme="majorHAnsi" w:hAnsiTheme="majorHAnsi" w:cstheme="majorHAnsi"/>
        </w:rPr>
        <w:t>the f</w:t>
      </w:r>
      <w:r w:rsidR="00505DDC">
        <w:rPr>
          <w:rFonts w:asciiTheme="majorHAnsi" w:hAnsiTheme="majorHAnsi" w:cstheme="majorHAnsi"/>
        </w:rPr>
        <w:t>irst</w:t>
      </w:r>
      <w:r w:rsidR="009A724B" w:rsidRPr="003E45EA">
        <w:rPr>
          <w:rFonts w:asciiTheme="majorHAnsi" w:hAnsiTheme="majorHAnsi" w:cstheme="majorHAnsi"/>
        </w:rPr>
        <w:t xml:space="preserve"> quarter of</w:t>
      </w:r>
      <w:r w:rsidR="00482044" w:rsidRPr="003E45EA">
        <w:rPr>
          <w:rFonts w:asciiTheme="majorHAnsi" w:hAnsiTheme="majorHAnsi" w:cstheme="majorHAnsi"/>
        </w:rPr>
        <w:t xml:space="preserve"> </w:t>
      </w:r>
      <w:r w:rsidR="001918FE" w:rsidRPr="003E45EA">
        <w:rPr>
          <w:rFonts w:asciiTheme="majorHAnsi" w:hAnsiTheme="majorHAnsi" w:cstheme="majorHAnsi"/>
        </w:rPr>
        <w:t>202</w:t>
      </w:r>
      <w:r w:rsidR="00505DDC">
        <w:rPr>
          <w:rFonts w:asciiTheme="majorHAnsi" w:hAnsiTheme="majorHAnsi" w:cstheme="majorHAnsi"/>
        </w:rPr>
        <w:t>5</w:t>
      </w:r>
      <w:r w:rsidR="001918FE" w:rsidRPr="003E45EA">
        <w:rPr>
          <w:rFonts w:asciiTheme="majorHAnsi" w:hAnsiTheme="majorHAnsi" w:cstheme="majorHAnsi"/>
        </w:rPr>
        <w:t xml:space="preserve">, </w:t>
      </w:r>
      <w:r w:rsidR="009E7EF6" w:rsidRPr="003E45EA">
        <w:rPr>
          <w:rFonts w:asciiTheme="majorHAnsi" w:hAnsiTheme="majorHAnsi" w:cstheme="majorHAnsi"/>
        </w:rPr>
        <w:t xml:space="preserve">which is </w:t>
      </w:r>
      <w:r w:rsidR="004916DD" w:rsidRPr="003E45EA">
        <w:rPr>
          <w:rFonts w:asciiTheme="majorHAnsi" w:hAnsiTheme="majorHAnsi" w:cstheme="majorHAnsi"/>
        </w:rPr>
        <w:t>within</w:t>
      </w:r>
      <w:r w:rsidR="00892627" w:rsidRPr="003E45EA">
        <w:rPr>
          <w:rFonts w:asciiTheme="majorHAnsi" w:hAnsiTheme="majorHAnsi" w:cstheme="majorHAnsi"/>
        </w:rPr>
        <w:t xml:space="preserve"> the </w:t>
      </w:r>
      <w:r w:rsidR="009E7EF6" w:rsidRPr="003E45EA">
        <w:rPr>
          <w:rFonts w:asciiTheme="majorHAnsi" w:hAnsiTheme="majorHAnsi" w:cstheme="majorHAnsi"/>
        </w:rPr>
        <w:t xml:space="preserve">Reserve Bank’s targeted 2% to 3% target range. </w:t>
      </w:r>
    </w:p>
    <w:p w14:paraId="2527D827" w14:textId="147B73BA" w:rsidR="00147535" w:rsidRPr="003E45EA" w:rsidRDefault="00B82C1F" w:rsidP="00C96BC6">
      <w:pPr>
        <w:pStyle w:val="Heading2"/>
        <w:jc w:val="center"/>
        <w:rPr>
          <w:rFonts w:cstheme="majorHAnsi"/>
          <w:b w:val="0"/>
          <w:bCs w:val="0"/>
          <w:sz w:val="22"/>
        </w:rPr>
      </w:pPr>
      <w:r w:rsidRPr="00B82C1F">
        <w:rPr>
          <w:rFonts w:cstheme="majorHAnsi"/>
          <w:b w:val="0"/>
          <w:bCs w:val="0"/>
          <w:noProof/>
          <w:sz w:val="22"/>
        </w:rPr>
        <w:lastRenderedPageBreak/>
        <w:drawing>
          <wp:inline distT="0" distB="0" distL="0" distR="0" wp14:anchorId="5FD2FBA0" wp14:editId="080A22A4">
            <wp:extent cx="2827874" cy="2312849"/>
            <wp:effectExtent l="0" t="0" r="0" b="0"/>
            <wp:docPr id="1798858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3306" cy="2317292"/>
                    </a:xfrm>
                    <a:prstGeom prst="rect">
                      <a:avLst/>
                    </a:prstGeom>
                    <a:noFill/>
                    <a:ln>
                      <a:noFill/>
                    </a:ln>
                  </pic:spPr>
                </pic:pic>
              </a:graphicData>
            </a:graphic>
          </wp:inline>
        </w:drawing>
      </w:r>
      <w:r w:rsidR="00907005" w:rsidRPr="003E45EA">
        <w:rPr>
          <w:rFonts w:cstheme="majorHAnsi"/>
          <w:b w:val="0"/>
          <w:bCs w:val="0"/>
          <w:sz w:val="22"/>
        </w:rPr>
        <w:t xml:space="preserve"> </w:t>
      </w:r>
      <w:r w:rsidRPr="00B82C1F">
        <w:rPr>
          <w:rFonts w:cstheme="majorHAnsi"/>
          <w:b w:val="0"/>
          <w:bCs w:val="0"/>
          <w:noProof/>
          <w:sz w:val="22"/>
        </w:rPr>
        <w:drawing>
          <wp:inline distT="0" distB="0" distL="0" distR="0" wp14:anchorId="17E80FF1" wp14:editId="625F77F4">
            <wp:extent cx="2552814" cy="2304789"/>
            <wp:effectExtent l="0" t="0" r="0" b="635"/>
            <wp:docPr id="1893432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6966" cy="2326595"/>
                    </a:xfrm>
                    <a:prstGeom prst="rect">
                      <a:avLst/>
                    </a:prstGeom>
                    <a:noFill/>
                    <a:ln>
                      <a:noFill/>
                    </a:ln>
                  </pic:spPr>
                </pic:pic>
              </a:graphicData>
            </a:graphic>
          </wp:inline>
        </w:drawing>
      </w:r>
    </w:p>
    <w:p w14:paraId="13598D04" w14:textId="2D54B170" w:rsidR="009E7EF6" w:rsidRPr="003E45EA" w:rsidRDefault="00147535" w:rsidP="009E7EF6">
      <w:pPr>
        <w:pStyle w:val="Heading2"/>
        <w:rPr>
          <w:rFonts w:eastAsiaTheme="minorEastAsia" w:cstheme="majorHAnsi"/>
          <w:iCs w:val="0"/>
          <w:color w:val="414042" w:themeColor="text1"/>
          <w:sz w:val="22"/>
          <w:lang w:val="en-AU" w:bidi="ar-SA"/>
        </w:rPr>
      </w:pPr>
      <w:r w:rsidRPr="003E45EA">
        <w:rPr>
          <w:rFonts w:eastAsiaTheme="minorEastAsia" w:cstheme="majorHAnsi"/>
          <w:iCs w:val="0"/>
          <w:color w:val="414042" w:themeColor="text1"/>
          <w:sz w:val="22"/>
          <w:lang w:val="en-AU" w:bidi="ar-SA"/>
        </w:rPr>
        <w:t>Curr</w:t>
      </w:r>
      <w:r w:rsidR="009E7EF6" w:rsidRPr="003E45EA">
        <w:rPr>
          <w:rFonts w:eastAsiaTheme="minorEastAsia" w:cstheme="majorHAnsi"/>
          <w:iCs w:val="0"/>
          <w:color w:val="414042" w:themeColor="text1"/>
          <w:sz w:val="22"/>
          <w:lang w:val="en-AU" w:bidi="ar-SA"/>
        </w:rPr>
        <w:t>ent Market View</w:t>
      </w:r>
    </w:p>
    <w:p w14:paraId="6D8387E0" w14:textId="77777777" w:rsidR="009E7EF6" w:rsidRPr="003E45EA" w:rsidRDefault="009E7EF6" w:rsidP="009E7EF6">
      <w:pPr>
        <w:pStyle w:val="Heading3"/>
        <w:rPr>
          <w:rFonts w:eastAsiaTheme="minorEastAsia" w:cstheme="majorHAnsi"/>
          <w:iCs w:val="0"/>
          <w:caps w:val="0"/>
          <w:color w:val="414042" w:themeColor="text1"/>
          <w:lang w:val="en-AU" w:bidi="ar-SA"/>
        </w:rPr>
      </w:pPr>
      <w:r w:rsidRPr="003E45EA">
        <w:rPr>
          <w:rFonts w:eastAsiaTheme="minorEastAsia" w:cstheme="majorHAnsi"/>
          <w:iCs w:val="0"/>
          <w:caps w:val="0"/>
          <w:color w:val="414042" w:themeColor="text1"/>
          <w:lang w:val="en-AU" w:bidi="ar-SA"/>
        </w:rPr>
        <w:t>Domestic View</w:t>
      </w:r>
    </w:p>
    <w:p w14:paraId="72A614DB" w14:textId="35046A22" w:rsidR="00D658F2" w:rsidRPr="003E45EA" w:rsidRDefault="00D658F2" w:rsidP="00001F8C">
      <w:pPr>
        <w:rPr>
          <w:rFonts w:asciiTheme="majorHAnsi" w:hAnsiTheme="majorHAnsi" w:cstheme="majorHAnsi"/>
        </w:rPr>
      </w:pPr>
      <w:r w:rsidRPr="003E45EA">
        <w:rPr>
          <w:rFonts w:asciiTheme="majorHAnsi" w:hAnsiTheme="majorHAnsi" w:cstheme="majorHAnsi"/>
        </w:rPr>
        <w:t xml:space="preserve">The overall </w:t>
      </w:r>
      <w:r w:rsidR="002C2046" w:rsidRPr="003E45EA">
        <w:rPr>
          <w:rFonts w:asciiTheme="majorHAnsi" w:hAnsiTheme="majorHAnsi" w:cstheme="majorHAnsi"/>
        </w:rPr>
        <w:t xml:space="preserve">investment </w:t>
      </w:r>
      <w:r w:rsidR="00242925" w:rsidRPr="003E45EA">
        <w:rPr>
          <w:rFonts w:asciiTheme="majorHAnsi" w:hAnsiTheme="majorHAnsi" w:cstheme="majorHAnsi"/>
        </w:rPr>
        <w:t>view</w:t>
      </w:r>
      <w:r w:rsidRPr="003E45EA">
        <w:rPr>
          <w:rFonts w:asciiTheme="majorHAnsi" w:hAnsiTheme="majorHAnsi" w:cstheme="majorHAnsi"/>
        </w:rPr>
        <w:t xml:space="preserve"> </w:t>
      </w:r>
      <w:r w:rsidR="005A4CB4" w:rsidRPr="003E45EA">
        <w:rPr>
          <w:rFonts w:asciiTheme="majorHAnsi" w:hAnsiTheme="majorHAnsi" w:cstheme="majorHAnsi"/>
        </w:rPr>
        <w:t xml:space="preserve">for shares </w:t>
      </w:r>
      <w:r w:rsidR="009965D9" w:rsidRPr="001B1F88">
        <w:rPr>
          <w:rFonts w:asciiTheme="majorHAnsi" w:hAnsiTheme="majorHAnsi" w:cstheme="majorHAnsi"/>
          <w:b/>
          <w:bCs/>
        </w:rPr>
        <w:t>“</w:t>
      </w:r>
      <w:r w:rsidR="001B1F88" w:rsidRPr="001B1F88">
        <w:rPr>
          <w:rFonts w:asciiTheme="majorHAnsi" w:hAnsiTheme="majorHAnsi" w:cstheme="majorHAnsi"/>
          <w:b/>
          <w:bCs/>
        </w:rPr>
        <w:t>risk-on</w:t>
      </w:r>
      <w:r w:rsidR="009965D9" w:rsidRPr="001B1F88">
        <w:rPr>
          <w:rFonts w:asciiTheme="majorHAnsi" w:hAnsiTheme="majorHAnsi" w:cstheme="majorHAnsi"/>
          <w:b/>
          <w:bCs/>
        </w:rPr>
        <w:t>”</w:t>
      </w:r>
      <w:r w:rsidR="00877A32" w:rsidRPr="003E45EA">
        <w:rPr>
          <w:rFonts w:asciiTheme="majorHAnsi" w:hAnsiTheme="majorHAnsi" w:cstheme="majorHAnsi"/>
        </w:rPr>
        <w:t xml:space="preserve"> </w:t>
      </w:r>
      <w:r w:rsidR="00745215" w:rsidRPr="003E45EA">
        <w:rPr>
          <w:rFonts w:asciiTheme="majorHAnsi" w:hAnsiTheme="majorHAnsi" w:cstheme="majorHAnsi"/>
          <w:b/>
          <w:bCs/>
        </w:rPr>
        <w:t xml:space="preserve">over the </w:t>
      </w:r>
      <w:r w:rsidR="00CE4371" w:rsidRPr="003E45EA">
        <w:rPr>
          <w:rFonts w:asciiTheme="majorHAnsi" w:hAnsiTheme="majorHAnsi" w:cstheme="majorHAnsi"/>
          <w:b/>
          <w:bCs/>
        </w:rPr>
        <w:t>short</w:t>
      </w:r>
      <w:r w:rsidR="001B1F88">
        <w:rPr>
          <w:rFonts w:asciiTheme="majorHAnsi" w:hAnsiTheme="majorHAnsi" w:cstheme="majorHAnsi"/>
          <w:b/>
          <w:bCs/>
        </w:rPr>
        <w:t xml:space="preserve"> term</w:t>
      </w:r>
      <w:r w:rsidR="00CE4371" w:rsidRPr="003E45EA">
        <w:rPr>
          <w:rFonts w:asciiTheme="majorHAnsi" w:hAnsiTheme="majorHAnsi" w:cstheme="majorHAnsi"/>
          <w:b/>
          <w:bCs/>
        </w:rPr>
        <w:t xml:space="preserve">, </w:t>
      </w:r>
      <w:r w:rsidR="001B1F88">
        <w:rPr>
          <w:rFonts w:asciiTheme="majorHAnsi" w:hAnsiTheme="majorHAnsi" w:cstheme="majorHAnsi"/>
          <w:b/>
          <w:bCs/>
        </w:rPr>
        <w:t xml:space="preserve">“cautiously optimistic” over the </w:t>
      </w:r>
      <w:r w:rsidR="00252B3E" w:rsidRPr="003E45EA">
        <w:rPr>
          <w:rFonts w:asciiTheme="majorHAnsi" w:hAnsiTheme="majorHAnsi" w:cstheme="majorHAnsi"/>
          <w:b/>
          <w:bCs/>
        </w:rPr>
        <w:t>medium,</w:t>
      </w:r>
      <w:r w:rsidR="00CE4371" w:rsidRPr="003E45EA">
        <w:rPr>
          <w:rFonts w:asciiTheme="majorHAnsi" w:hAnsiTheme="majorHAnsi" w:cstheme="majorHAnsi"/>
          <w:b/>
          <w:bCs/>
        </w:rPr>
        <w:t xml:space="preserve"> and </w:t>
      </w:r>
      <w:r w:rsidR="00745215" w:rsidRPr="003E45EA">
        <w:rPr>
          <w:rFonts w:asciiTheme="majorHAnsi" w:hAnsiTheme="majorHAnsi" w:cstheme="majorHAnsi"/>
          <w:b/>
          <w:bCs/>
        </w:rPr>
        <w:t>long run</w:t>
      </w:r>
      <w:r w:rsidR="009C479B" w:rsidRPr="003E45EA">
        <w:rPr>
          <w:rFonts w:asciiTheme="majorHAnsi" w:hAnsiTheme="majorHAnsi" w:cstheme="majorHAnsi"/>
          <w:b/>
          <w:bCs/>
        </w:rPr>
        <w:t xml:space="preserve"> </w:t>
      </w:r>
      <w:r w:rsidR="002C2046" w:rsidRPr="003E45EA">
        <w:rPr>
          <w:rFonts w:asciiTheme="majorHAnsi" w:hAnsiTheme="majorHAnsi" w:cstheme="majorHAnsi"/>
        </w:rPr>
        <w:t xml:space="preserve">as interest </w:t>
      </w:r>
      <w:r w:rsidR="00FC017D" w:rsidRPr="003E45EA">
        <w:rPr>
          <w:rFonts w:asciiTheme="majorHAnsi" w:hAnsiTheme="majorHAnsi" w:cstheme="majorHAnsi"/>
        </w:rPr>
        <w:t xml:space="preserve">rates </w:t>
      </w:r>
      <w:r w:rsidR="00C5696F" w:rsidRPr="003E45EA">
        <w:rPr>
          <w:rFonts w:asciiTheme="majorHAnsi" w:hAnsiTheme="majorHAnsi" w:cstheme="majorHAnsi"/>
        </w:rPr>
        <w:t xml:space="preserve">are expected to </w:t>
      </w:r>
      <w:r w:rsidR="001740F6" w:rsidRPr="003E45EA">
        <w:rPr>
          <w:rFonts w:asciiTheme="majorHAnsi" w:hAnsiTheme="majorHAnsi" w:cstheme="majorHAnsi"/>
          <w:b/>
          <w:bCs/>
        </w:rPr>
        <w:t xml:space="preserve">continue </w:t>
      </w:r>
      <w:r w:rsidR="00077BE9" w:rsidRPr="003E45EA">
        <w:rPr>
          <w:rFonts w:asciiTheme="majorHAnsi" w:hAnsiTheme="majorHAnsi" w:cstheme="majorHAnsi"/>
          <w:b/>
          <w:bCs/>
        </w:rPr>
        <w:t>to</w:t>
      </w:r>
      <w:r w:rsidR="001740F6" w:rsidRPr="003E45EA">
        <w:rPr>
          <w:rFonts w:asciiTheme="majorHAnsi" w:hAnsiTheme="majorHAnsi" w:cstheme="majorHAnsi"/>
          <w:b/>
          <w:bCs/>
        </w:rPr>
        <w:t xml:space="preserve"> trend</w:t>
      </w:r>
      <w:r w:rsidR="00077BE9" w:rsidRPr="003E45EA">
        <w:rPr>
          <w:rFonts w:asciiTheme="majorHAnsi" w:hAnsiTheme="majorHAnsi" w:cstheme="majorHAnsi"/>
          <w:b/>
          <w:bCs/>
        </w:rPr>
        <w:t xml:space="preserve"> down</w:t>
      </w:r>
      <w:r w:rsidR="001740F6" w:rsidRPr="003E45EA">
        <w:rPr>
          <w:rFonts w:asciiTheme="majorHAnsi" w:hAnsiTheme="majorHAnsi" w:cstheme="majorHAnsi"/>
        </w:rPr>
        <w:t xml:space="preserve"> </w:t>
      </w:r>
      <w:r w:rsidR="009965D9" w:rsidRPr="003E45EA">
        <w:rPr>
          <w:rFonts w:asciiTheme="majorHAnsi" w:hAnsiTheme="majorHAnsi" w:cstheme="majorHAnsi"/>
        </w:rPr>
        <w:t>post the</w:t>
      </w:r>
      <w:r w:rsidR="009965D9" w:rsidRPr="003E45EA">
        <w:rPr>
          <w:rFonts w:asciiTheme="majorHAnsi" w:hAnsiTheme="majorHAnsi" w:cstheme="majorHAnsi"/>
          <w:b/>
          <w:bCs/>
        </w:rPr>
        <w:t xml:space="preserve"> </w:t>
      </w:r>
      <w:r w:rsidR="00077BE9" w:rsidRPr="003E45EA">
        <w:rPr>
          <w:rFonts w:asciiTheme="majorHAnsi" w:hAnsiTheme="majorHAnsi" w:cstheme="majorHAnsi"/>
          <w:b/>
          <w:bCs/>
        </w:rPr>
        <w:t xml:space="preserve">tariff implementation </w:t>
      </w:r>
      <w:r w:rsidR="00077BE9" w:rsidRPr="003E45EA">
        <w:rPr>
          <w:rFonts w:asciiTheme="majorHAnsi" w:hAnsiTheme="majorHAnsi" w:cstheme="majorHAnsi"/>
        </w:rPr>
        <w:t>and future</w:t>
      </w:r>
      <w:r w:rsidR="00077BE9" w:rsidRPr="003E45EA">
        <w:rPr>
          <w:rFonts w:asciiTheme="majorHAnsi" w:hAnsiTheme="majorHAnsi" w:cstheme="majorHAnsi"/>
          <w:b/>
          <w:bCs/>
        </w:rPr>
        <w:t xml:space="preserve"> </w:t>
      </w:r>
      <w:r w:rsidR="0018703E" w:rsidRPr="003E45EA">
        <w:rPr>
          <w:rFonts w:asciiTheme="majorHAnsi" w:hAnsiTheme="majorHAnsi" w:cstheme="majorHAnsi"/>
        </w:rPr>
        <w:t xml:space="preserve">anticipated </w:t>
      </w:r>
      <w:r w:rsidR="001740F6" w:rsidRPr="003E45EA">
        <w:rPr>
          <w:rFonts w:asciiTheme="majorHAnsi" w:hAnsiTheme="majorHAnsi" w:cstheme="majorHAnsi"/>
        </w:rPr>
        <w:t>easing of Monetary Policy by the RBA.</w:t>
      </w:r>
    </w:p>
    <w:p w14:paraId="09E86B6C" w14:textId="61F770AF" w:rsidR="0018703E" w:rsidRPr="003E45EA" w:rsidRDefault="0018703E" w:rsidP="0018703E">
      <w:pPr>
        <w:rPr>
          <w:rFonts w:asciiTheme="majorHAnsi" w:hAnsiTheme="majorHAnsi" w:cstheme="majorHAnsi"/>
        </w:rPr>
      </w:pPr>
      <w:r w:rsidRPr="003E45EA">
        <w:rPr>
          <w:rFonts w:asciiTheme="majorHAnsi" w:hAnsiTheme="majorHAnsi" w:cstheme="majorHAnsi"/>
        </w:rPr>
        <w:t xml:space="preserve">The market is expecting a </w:t>
      </w:r>
      <w:r w:rsidR="00D91AB7">
        <w:rPr>
          <w:rFonts w:asciiTheme="majorHAnsi" w:hAnsiTheme="majorHAnsi" w:cstheme="majorHAnsi"/>
        </w:rPr>
        <w:t xml:space="preserve">good chance of a </w:t>
      </w:r>
      <w:r w:rsidRPr="003E45EA">
        <w:rPr>
          <w:rFonts w:asciiTheme="majorHAnsi" w:hAnsiTheme="majorHAnsi" w:cstheme="majorHAnsi"/>
          <w:b/>
          <w:bCs/>
        </w:rPr>
        <w:t>0.25% cut to interest rates</w:t>
      </w:r>
      <w:r w:rsidRPr="003E45EA">
        <w:rPr>
          <w:rFonts w:asciiTheme="majorHAnsi" w:hAnsiTheme="majorHAnsi" w:cstheme="majorHAnsi"/>
        </w:rPr>
        <w:t xml:space="preserve"> at the coming RBA monetary policy meeting </w:t>
      </w:r>
      <w:r w:rsidR="00C64D54" w:rsidRPr="003E45EA">
        <w:rPr>
          <w:rFonts w:asciiTheme="majorHAnsi" w:hAnsiTheme="majorHAnsi" w:cstheme="majorHAnsi"/>
        </w:rPr>
        <w:t xml:space="preserve">on the </w:t>
      </w:r>
      <w:r w:rsidR="00D91AB7" w:rsidRPr="00D91AB7">
        <w:rPr>
          <w:rFonts w:asciiTheme="majorHAnsi" w:hAnsiTheme="majorHAnsi" w:cstheme="majorHAnsi"/>
          <w:b/>
          <w:bCs/>
        </w:rPr>
        <w:t>29</w:t>
      </w:r>
      <w:r w:rsidR="00EA0DF8" w:rsidRPr="00D91AB7">
        <w:rPr>
          <w:rFonts w:asciiTheme="majorHAnsi" w:hAnsiTheme="majorHAnsi" w:cstheme="majorHAnsi"/>
          <w:b/>
          <w:bCs/>
          <w:vertAlign w:val="superscript"/>
        </w:rPr>
        <w:t>th</w:t>
      </w:r>
      <w:r w:rsidR="00EA0DF8" w:rsidRPr="00EA0DF8">
        <w:rPr>
          <w:rFonts w:asciiTheme="majorHAnsi" w:hAnsiTheme="majorHAnsi" w:cstheme="majorHAnsi"/>
          <w:b/>
          <w:bCs/>
        </w:rPr>
        <w:t>/</w:t>
      </w:r>
      <w:r w:rsidR="00D91AB7">
        <w:rPr>
          <w:rFonts w:asciiTheme="majorHAnsi" w:hAnsiTheme="majorHAnsi" w:cstheme="majorHAnsi"/>
          <w:b/>
          <w:bCs/>
        </w:rPr>
        <w:t>30</w:t>
      </w:r>
      <w:r w:rsidR="00EA0DF8" w:rsidRPr="00EA0DF8">
        <w:rPr>
          <w:rFonts w:asciiTheme="majorHAnsi" w:hAnsiTheme="majorHAnsi" w:cstheme="majorHAnsi"/>
          <w:b/>
          <w:bCs/>
          <w:vertAlign w:val="superscript"/>
        </w:rPr>
        <w:t>th</w:t>
      </w:r>
      <w:r w:rsidR="00EA0DF8" w:rsidRPr="00EA0DF8">
        <w:rPr>
          <w:rFonts w:asciiTheme="majorHAnsi" w:hAnsiTheme="majorHAnsi" w:cstheme="majorHAnsi"/>
          <w:b/>
          <w:bCs/>
        </w:rPr>
        <w:t xml:space="preserve"> </w:t>
      </w:r>
      <w:r w:rsidR="00D91AB7">
        <w:rPr>
          <w:rFonts w:asciiTheme="majorHAnsi" w:hAnsiTheme="majorHAnsi" w:cstheme="majorHAnsi"/>
          <w:b/>
          <w:bCs/>
        </w:rPr>
        <w:t>September</w:t>
      </w:r>
      <w:r w:rsidR="00C64D54" w:rsidRPr="003E45EA">
        <w:rPr>
          <w:rFonts w:asciiTheme="majorHAnsi" w:hAnsiTheme="majorHAnsi" w:cstheme="majorHAnsi"/>
          <w:b/>
          <w:bCs/>
        </w:rPr>
        <w:t xml:space="preserve"> 2025</w:t>
      </w:r>
      <w:r w:rsidR="00D91AB7">
        <w:rPr>
          <w:rFonts w:asciiTheme="majorHAnsi" w:hAnsiTheme="majorHAnsi" w:cstheme="majorHAnsi"/>
          <w:b/>
          <w:bCs/>
        </w:rPr>
        <w:t xml:space="preserve"> however, we think it will be towards November 2025</w:t>
      </w:r>
      <w:r w:rsidRPr="003E45EA">
        <w:rPr>
          <w:rFonts w:asciiTheme="majorHAnsi" w:hAnsiTheme="majorHAnsi" w:cstheme="majorHAnsi"/>
        </w:rPr>
        <w:t>. This will help borrowers in the short-term and support share market valuations.</w:t>
      </w:r>
    </w:p>
    <w:p w14:paraId="1B4AEE86" w14:textId="58CB9E27" w:rsidR="009E7EF6" w:rsidRPr="003E45EA" w:rsidRDefault="009E7EF6" w:rsidP="004273DE">
      <w:pPr>
        <w:pStyle w:val="Heading3"/>
        <w:spacing w:before="120" w:after="120"/>
        <w:rPr>
          <w:rFonts w:eastAsiaTheme="minorEastAsia" w:cstheme="majorHAnsi"/>
          <w:iCs w:val="0"/>
          <w:caps w:val="0"/>
          <w:color w:val="414042" w:themeColor="text1"/>
          <w:lang w:val="en-AU" w:bidi="ar-SA"/>
        </w:rPr>
      </w:pPr>
      <w:r w:rsidRPr="003E45EA">
        <w:rPr>
          <w:rFonts w:eastAsiaTheme="minorEastAsia" w:cstheme="majorHAnsi"/>
          <w:iCs w:val="0"/>
          <w:caps w:val="0"/>
          <w:color w:val="414042" w:themeColor="text1"/>
          <w:lang w:val="en-AU" w:bidi="ar-SA"/>
        </w:rPr>
        <w:t>Global View</w:t>
      </w:r>
    </w:p>
    <w:p w14:paraId="49D232AF" w14:textId="669A4DE0" w:rsidR="00AB1F7F" w:rsidRPr="003E45EA" w:rsidRDefault="00FD5867" w:rsidP="00E02932">
      <w:pPr>
        <w:spacing w:before="120" w:after="120"/>
        <w:rPr>
          <w:rFonts w:asciiTheme="majorHAnsi" w:hAnsiTheme="majorHAnsi" w:cstheme="majorHAnsi"/>
        </w:rPr>
      </w:pPr>
      <w:r w:rsidRPr="003E45EA">
        <w:rPr>
          <w:rFonts w:asciiTheme="majorHAnsi" w:hAnsiTheme="majorHAnsi" w:cstheme="majorHAnsi"/>
        </w:rPr>
        <w:t>Global</w:t>
      </w:r>
      <w:r w:rsidR="00F11088" w:rsidRPr="003E45EA">
        <w:rPr>
          <w:rFonts w:asciiTheme="majorHAnsi" w:hAnsiTheme="majorHAnsi" w:cstheme="majorHAnsi"/>
        </w:rPr>
        <w:t xml:space="preserve"> </w:t>
      </w:r>
      <w:r w:rsidR="0077020B" w:rsidRPr="003E45EA">
        <w:rPr>
          <w:rFonts w:asciiTheme="majorHAnsi" w:hAnsiTheme="majorHAnsi" w:cstheme="majorHAnsi"/>
        </w:rPr>
        <w:t xml:space="preserve">share </w:t>
      </w:r>
      <w:r w:rsidR="002761ED" w:rsidRPr="003E45EA">
        <w:rPr>
          <w:rFonts w:asciiTheme="majorHAnsi" w:hAnsiTheme="majorHAnsi" w:cstheme="majorHAnsi"/>
        </w:rPr>
        <w:t xml:space="preserve">market </w:t>
      </w:r>
      <w:r w:rsidR="00AB1F7F" w:rsidRPr="003E45EA">
        <w:rPr>
          <w:rFonts w:asciiTheme="majorHAnsi" w:hAnsiTheme="majorHAnsi" w:cstheme="majorHAnsi"/>
        </w:rPr>
        <w:t xml:space="preserve">remains </w:t>
      </w:r>
      <w:r w:rsidR="001F4728" w:rsidRPr="001F4728">
        <w:rPr>
          <w:rFonts w:asciiTheme="majorHAnsi" w:hAnsiTheme="majorHAnsi" w:cstheme="majorHAnsi"/>
          <w:b/>
          <w:bCs/>
        </w:rPr>
        <w:t>positive</w:t>
      </w:r>
      <w:r w:rsidR="00AB1F7F" w:rsidRPr="003E45EA">
        <w:rPr>
          <w:rFonts w:asciiTheme="majorHAnsi" w:hAnsiTheme="majorHAnsi" w:cstheme="majorHAnsi"/>
          <w:b/>
          <w:bCs/>
        </w:rPr>
        <w:t xml:space="preserve"> </w:t>
      </w:r>
      <w:r w:rsidR="001F4728" w:rsidRPr="001F4728">
        <w:rPr>
          <w:rFonts w:asciiTheme="majorHAnsi" w:hAnsiTheme="majorHAnsi" w:cstheme="majorHAnsi"/>
        </w:rPr>
        <w:t>despite the M</w:t>
      </w:r>
      <w:r w:rsidR="00AB1F7F" w:rsidRPr="001F4728">
        <w:rPr>
          <w:rFonts w:asciiTheme="majorHAnsi" w:hAnsiTheme="majorHAnsi" w:cstheme="majorHAnsi"/>
        </w:rPr>
        <w:t>iddle</w:t>
      </w:r>
      <w:r w:rsidR="00AB1F7F" w:rsidRPr="003E45EA">
        <w:rPr>
          <w:rFonts w:asciiTheme="majorHAnsi" w:hAnsiTheme="majorHAnsi" w:cstheme="majorHAnsi"/>
        </w:rPr>
        <w:t xml:space="preserve"> East conflict</w:t>
      </w:r>
      <w:r w:rsidR="0018703E" w:rsidRPr="003E45EA">
        <w:rPr>
          <w:rFonts w:asciiTheme="majorHAnsi" w:hAnsiTheme="majorHAnsi" w:cstheme="majorHAnsi"/>
        </w:rPr>
        <w:t xml:space="preserve"> </w:t>
      </w:r>
      <w:r w:rsidR="00AB1F7F" w:rsidRPr="003E45EA">
        <w:rPr>
          <w:rFonts w:asciiTheme="majorHAnsi" w:hAnsiTheme="majorHAnsi" w:cstheme="majorHAnsi"/>
        </w:rPr>
        <w:t xml:space="preserve">which we expect will result in Central Banks looking to ease interest rates to prevent further fallout from the events where they can however, the countries impacted by trade tariffs directly are likely to </w:t>
      </w:r>
      <w:r w:rsidR="00AB1F7F" w:rsidRPr="003E45EA">
        <w:rPr>
          <w:rFonts w:asciiTheme="majorHAnsi" w:hAnsiTheme="majorHAnsi" w:cstheme="majorHAnsi"/>
          <w:b/>
          <w:bCs/>
        </w:rPr>
        <w:t>hold rates</w:t>
      </w:r>
      <w:r w:rsidR="00AB1F7F" w:rsidRPr="003E45EA">
        <w:rPr>
          <w:rFonts w:asciiTheme="majorHAnsi" w:hAnsiTheme="majorHAnsi" w:cstheme="majorHAnsi"/>
        </w:rPr>
        <w:t xml:space="preserve"> while they assess what will be the inflationary impacts of the new tariffs.  </w:t>
      </w:r>
    </w:p>
    <w:p w14:paraId="600F27A5" w14:textId="5DE19EF7" w:rsidR="009965D9" w:rsidRPr="003E45EA" w:rsidRDefault="009965D9" w:rsidP="00E02932">
      <w:pPr>
        <w:spacing w:before="120" w:after="120"/>
        <w:rPr>
          <w:rFonts w:asciiTheme="majorHAnsi" w:hAnsiTheme="majorHAnsi" w:cstheme="majorHAnsi"/>
        </w:rPr>
      </w:pPr>
      <w:r w:rsidRPr="003E45EA">
        <w:rPr>
          <w:rFonts w:asciiTheme="majorHAnsi" w:hAnsiTheme="majorHAnsi" w:cstheme="majorHAnsi"/>
        </w:rPr>
        <w:t xml:space="preserve">Global markets have dealt with tariffs in the past and they will settle given the charges have only just begun. </w:t>
      </w:r>
      <w:r w:rsidR="0054797D" w:rsidRPr="003E45EA">
        <w:rPr>
          <w:rFonts w:asciiTheme="majorHAnsi" w:hAnsiTheme="majorHAnsi" w:cstheme="majorHAnsi"/>
        </w:rPr>
        <w:t xml:space="preserve">The implementation of the tariffs will take time to work through and in the interim, markets will remain on alert. </w:t>
      </w:r>
      <w:r w:rsidRPr="003E45EA">
        <w:rPr>
          <w:rFonts w:asciiTheme="majorHAnsi" w:hAnsiTheme="majorHAnsi" w:cstheme="majorHAnsi"/>
          <w:b/>
          <w:bCs/>
        </w:rPr>
        <w:t>We remain optimistic about the future</w:t>
      </w:r>
      <w:r w:rsidR="0029095D" w:rsidRPr="003E45EA">
        <w:rPr>
          <w:rFonts w:asciiTheme="majorHAnsi" w:hAnsiTheme="majorHAnsi" w:cstheme="majorHAnsi"/>
          <w:b/>
          <w:bCs/>
        </w:rPr>
        <w:t xml:space="preserve"> </w:t>
      </w:r>
      <w:r w:rsidR="0029095D" w:rsidRPr="003E45EA">
        <w:rPr>
          <w:rFonts w:asciiTheme="majorHAnsi" w:hAnsiTheme="majorHAnsi" w:cstheme="majorHAnsi"/>
        </w:rPr>
        <w:t xml:space="preserve">despite the tariffs and </w:t>
      </w:r>
      <w:r w:rsidR="00CC01D6" w:rsidRPr="003E45EA">
        <w:rPr>
          <w:rFonts w:asciiTheme="majorHAnsi" w:hAnsiTheme="majorHAnsi" w:cstheme="majorHAnsi"/>
        </w:rPr>
        <w:t>the</w:t>
      </w:r>
      <w:r w:rsidR="00CC01D6" w:rsidRPr="003E45EA">
        <w:rPr>
          <w:rFonts w:asciiTheme="majorHAnsi" w:hAnsiTheme="majorHAnsi" w:cstheme="majorHAnsi"/>
          <w:b/>
          <w:bCs/>
        </w:rPr>
        <w:t xml:space="preserve"> interruption to global trade.</w:t>
      </w:r>
    </w:p>
    <w:p w14:paraId="5A79C98F" w14:textId="77777777" w:rsidR="00AB1F7F" w:rsidRPr="003E45EA" w:rsidRDefault="00CC3247" w:rsidP="00E02932">
      <w:pPr>
        <w:spacing w:before="120" w:after="120"/>
        <w:rPr>
          <w:rFonts w:asciiTheme="majorHAnsi" w:hAnsiTheme="majorHAnsi" w:cstheme="majorHAnsi"/>
        </w:rPr>
      </w:pPr>
      <w:r w:rsidRPr="003E45EA">
        <w:rPr>
          <w:rFonts w:asciiTheme="majorHAnsi" w:hAnsiTheme="majorHAnsi" w:cstheme="majorHAnsi"/>
        </w:rPr>
        <w:t xml:space="preserve">Despite the </w:t>
      </w:r>
      <w:r w:rsidR="007B07C4" w:rsidRPr="003E45EA">
        <w:rPr>
          <w:rFonts w:asciiTheme="majorHAnsi" w:hAnsiTheme="majorHAnsi" w:cstheme="majorHAnsi"/>
        </w:rPr>
        <w:t xml:space="preserve">uncertain </w:t>
      </w:r>
      <w:r w:rsidR="0002488F" w:rsidRPr="003E45EA">
        <w:rPr>
          <w:rFonts w:asciiTheme="majorHAnsi" w:hAnsiTheme="majorHAnsi" w:cstheme="majorHAnsi"/>
        </w:rPr>
        <w:t>geo</w:t>
      </w:r>
      <w:r w:rsidR="00BF72F5" w:rsidRPr="003E45EA">
        <w:rPr>
          <w:rFonts w:asciiTheme="majorHAnsi" w:hAnsiTheme="majorHAnsi" w:cstheme="majorHAnsi"/>
        </w:rPr>
        <w:t xml:space="preserve">political situation </w:t>
      </w:r>
      <w:r w:rsidR="00B11817" w:rsidRPr="003E45EA">
        <w:rPr>
          <w:rFonts w:asciiTheme="majorHAnsi" w:hAnsiTheme="majorHAnsi" w:cstheme="majorHAnsi"/>
        </w:rPr>
        <w:t>with the</w:t>
      </w:r>
      <w:r w:rsidR="003654CD" w:rsidRPr="003E45EA">
        <w:rPr>
          <w:rFonts w:asciiTheme="majorHAnsi" w:hAnsiTheme="majorHAnsi" w:cstheme="majorHAnsi"/>
        </w:rPr>
        <w:t xml:space="preserve"> </w:t>
      </w:r>
      <w:r w:rsidR="006B19AD" w:rsidRPr="003E45EA">
        <w:rPr>
          <w:rFonts w:asciiTheme="majorHAnsi" w:hAnsiTheme="majorHAnsi" w:cstheme="majorHAnsi"/>
        </w:rPr>
        <w:t>Russia</w:t>
      </w:r>
      <w:r w:rsidR="009708AD" w:rsidRPr="003E45EA">
        <w:rPr>
          <w:rFonts w:asciiTheme="majorHAnsi" w:hAnsiTheme="majorHAnsi" w:cstheme="majorHAnsi"/>
        </w:rPr>
        <w:t>-</w:t>
      </w:r>
      <w:r w:rsidR="006B19AD" w:rsidRPr="003E45EA">
        <w:rPr>
          <w:rFonts w:asciiTheme="majorHAnsi" w:hAnsiTheme="majorHAnsi" w:cstheme="majorHAnsi"/>
        </w:rPr>
        <w:t>Ukraine</w:t>
      </w:r>
      <w:r w:rsidR="009708AD" w:rsidRPr="003E45EA">
        <w:rPr>
          <w:rFonts w:asciiTheme="majorHAnsi" w:hAnsiTheme="majorHAnsi" w:cstheme="majorHAnsi"/>
        </w:rPr>
        <w:t>, Israel-H</w:t>
      </w:r>
      <w:r w:rsidR="009B38B3" w:rsidRPr="003E45EA">
        <w:rPr>
          <w:rFonts w:asciiTheme="majorHAnsi" w:hAnsiTheme="majorHAnsi" w:cstheme="majorHAnsi"/>
        </w:rPr>
        <w:t>a</w:t>
      </w:r>
      <w:r w:rsidR="009708AD" w:rsidRPr="003E45EA">
        <w:rPr>
          <w:rFonts w:asciiTheme="majorHAnsi" w:hAnsiTheme="majorHAnsi" w:cstheme="majorHAnsi"/>
        </w:rPr>
        <w:t>mas</w:t>
      </w:r>
      <w:r w:rsidR="006277A4" w:rsidRPr="003E45EA">
        <w:rPr>
          <w:rFonts w:asciiTheme="majorHAnsi" w:hAnsiTheme="majorHAnsi" w:cstheme="majorHAnsi"/>
        </w:rPr>
        <w:t xml:space="preserve">, </w:t>
      </w:r>
      <w:r w:rsidR="00AB1F7F" w:rsidRPr="003E45EA">
        <w:rPr>
          <w:rFonts w:asciiTheme="majorHAnsi" w:hAnsiTheme="majorHAnsi" w:cstheme="majorHAnsi"/>
        </w:rPr>
        <w:t xml:space="preserve">Israel and Iran, </w:t>
      </w:r>
      <w:r w:rsidR="006277A4" w:rsidRPr="003E45EA">
        <w:rPr>
          <w:rFonts w:asciiTheme="majorHAnsi" w:hAnsiTheme="majorHAnsi" w:cstheme="majorHAnsi"/>
        </w:rPr>
        <w:t xml:space="preserve">Hezbollah and </w:t>
      </w:r>
      <w:r w:rsidR="006B19AD" w:rsidRPr="003E45EA">
        <w:rPr>
          <w:rFonts w:asciiTheme="majorHAnsi" w:hAnsiTheme="majorHAnsi" w:cstheme="majorHAnsi"/>
        </w:rPr>
        <w:t xml:space="preserve"> </w:t>
      </w:r>
      <w:r w:rsidR="006277A4" w:rsidRPr="003E45EA">
        <w:rPr>
          <w:rFonts w:asciiTheme="majorHAnsi" w:hAnsiTheme="majorHAnsi" w:cstheme="majorHAnsi"/>
        </w:rPr>
        <w:t xml:space="preserve">Houthi </w:t>
      </w:r>
      <w:r w:rsidR="009B38B3" w:rsidRPr="003E45EA">
        <w:rPr>
          <w:rFonts w:asciiTheme="majorHAnsi" w:hAnsiTheme="majorHAnsi" w:cstheme="majorHAnsi"/>
        </w:rPr>
        <w:t>conflict,</w:t>
      </w:r>
      <w:r w:rsidR="006B19AD" w:rsidRPr="003E45EA">
        <w:rPr>
          <w:rFonts w:asciiTheme="majorHAnsi" w:hAnsiTheme="majorHAnsi" w:cstheme="majorHAnsi"/>
        </w:rPr>
        <w:t xml:space="preserve"> and </w:t>
      </w:r>
      <w:r w:rsidR="002903A6" w:rsidRPr="003E45EA">
        <w:rPr>
          <w:rFonts w:asciiTheme="majorHAnsi" w:hAnsiTheme="majorHAnsi" w:cstheme="majorHAnsi"/>
        </w:rPr>
        <w:t xml:space="preserve">economic slowdown </w:t>
      </w:r>
      <w:r w:rsidR="00BF72F5" w:rsidRPr="003E45EA">
        <w:rPr>
          <w:rFonts w:asciiTheme="majorHAnsi" w:hAnsiTheme="majorHAnsi" w:cstheme="majorHAnsi"/>
        </w:rPr>
        <w:t xml:space="preserve">concerns, </w:t>
      </w:r>
      <w:r w:rsidRPr="003E45EA">
        <w:rPr>
          <w:rFonts w:asciiTheme="majorHAnsi" w:hAnsiTheme="majorHAnsi" w:cstheme="majorHAnsi"/>
        </w:rPr>
        <w:t xml:space="preserve">we </w:t>
      </w:r>
      <w:r w:rsidR="00090E25" w:rsidRPr="003E45EA">
        <w:rPr>
          <w:rFonts w:asciiTheme="majorHAnsi" w:hAnsiTheme="majorHAnsi" w:cstheme="majorHAnsi"/>
        </w:rPr>
        <w:t xml:space="preserve">expect the </w:t>
      </w:r>
      <w:r w:rsidR="007B07C4" w:rsidRPr="003E45EA">
        <w:rPr>
          <w:rFonts w:asciiTheme="majorHAnsi" w:hAnsiTheme="majorHAnsi" w:cstheme="majorHAnsi"/>
          <w:b/>
          <w:bCs/>
        </w:rPr>
        <w:t xml:space="preserve">medium-term </w:t>
      </w:r>
      <w:r w:rsidRPr="003E45EA">
        <w:rPr>
          <w:rFonts w:asciiTheme="majorHAnsi" w:hAnsiTheme="majorHAnsi" w:cstheme="majorHAnsi"/>
          <w:b/>
          <w:bCs/>
        </w:rPr>
        <w:t>outlook</w:t>
      </w:r>
      <w:r w:rsidR="00090E25" w:rsidRPr="003E45EA">
        <w:rPr>
          <w:rFonts w:asciiTheme="majorHAnsi" w:hAnsiTheme="majorHAnsi" w:cstheme="majorHAnsi"/>
          <w:b/>
          <w:bCs/>
        </w:rPr>
        <w:t xml:space="preserve"> to reflect </w:t>
      </w:r>
      <w:r w:rsidR="00885792" w:rsidRPr="003E45EA">
        <w:rPr>
          <w:rFonts w:asciiTheme="majorHAnsi" w:hAnsiTheme="majorHAnsi" w:cstheme="majorHAnsi"/>
          <w:b/>
          <w:bCs/>
        </w:rPr>
        <w:t>reasonable</w:t>
      </w:r>
      <w:r w:rsidR="00090E25" w:rsidRPr="003E45EA">
        <w:rPr>
          <w:rFonts w:asciiTheme="majorHAnsi" w:hAnsiTheme="majorHAnsi" w:cstheme="majorHAnsi"/>
          <w:b/>
          <w:bCs/>
        </w:rPr>
        <w:t xml:space="preserve"> opportunities for investors</w:t>
      </w:r>
      <w:r w:rsidR="00090E25" w:rsidRPr="003E45EA">
        <w:rPr>
          <w:rFonts w:asciiTheme="majorHAnsi" w:hAnsiTheme="majorHAnsi" w:cstheme="majorHAnsi"/>
        </w:rPr>
        <w:t xml:space="preserve">. </w:t>
      </w:r>
    </w:p>
    <w:p w14:paraId="51329540" w14:textId="77777777" w:rsidR="004A5BF7" w:rsidRDefault="004A5BF7" w:rsidP="004273DE">
      <w:pPr>
        <w:spacing w:before="120" w:after="120"/>
        <w:rPr>
          <w:rFonts w:asciiTheme="majorHAnsi" w:hAnsiTheme="majorHAnsi" w:cstheme="majorHAnsi"/>
          <w:b/>
          <w:bCs/>
        </w:rPr>
      </w:pPr>
    </w:p>
    <w:p w14:paraId="0B22891E" w14:textId="77777777" w:rsidR="004A5BF7" w:rsidRDefault="004A5BF7" w:rsidP="004273DE">
      <w:pPr>
        <w:spacing w:before="120" w:after="120"/>
        <w:rPr>
          <w:rFonts w:asciiTheme="majorHAnsi" w:hAnsiTheme="majorHAnsi" w:cstheme="majorHAnsi"/>
          <w:b/>
          <w:bCs/>
        </w:rPr>
      </w:pPr>
    </w:p>
    <w:p w14:paraId="746B3093" w14:textId="1C9494F0" w:rsidR="00476B80" w:rsidRPr="003E45EA" w:rsidRDefault="00FA2956" w:rsidP="004273DE">
      <w:pPr>
        <w:spacing w:before="120" w:after="120"/>
        <w:rPr>
          <w:rFonts w:asciiTheme="majorHAnsi" w:hAnsiTheme="majorHAnsi" w:cstheme="majorHAnsi"/>
          <w:b/>
          <w:bCs/>
        </w:rPr>
      </w:pPr>
      <w:r w:rsidRPr="003E45EA">
        <w:rPr>
          <w:rFonts w:asciiTheme="majorHAnsi" w:hAnsiTheme="majorHAnsi" w:cstheme="majorHAnsi"/>
          <w:b/>
          <w:bCs/>
        </w:rPr>
        <w:lastRenderedPageBreak/>
        <w:t>Where to From Here?</w:t>
      </w:r>
    </w:p>
    <w:p w14:paraId="3208B238" w14:textId="77777777" w:rsidR="002761ED" w:rsidRPr="003E45EA" w:rsidRDefault="00FA2956" w:rsidP="004273DE">
      <w:pPr>
        <w:spacing w:before="120" w:after="120"/>
        <w:rPr>
          <w:rFonts w:asciiTheme="majorHAnsi" w:hAnsiTheme="majorHAnsi" w:cstheme="majorHAnsi"/>
        </w:rPr>
      </w:pPr>
      <w:r w:rsidRPr="003E45EA">
        <w:rPr>
          <w:rFonts w:asciiTheme="majorHAnsi" w:hAnsiTheme="majorHAnsi" w:cstheme="majorHAnsi"/>
          <w:b/>
          <w:bCs/>
        </w:rPr>
        <w:t>For Australia</w:t>
      </w:r>
      <w:r w:rsidRPr="003E45EA">
        <w:rPr>
          <w:rFonts w:asciiTheme="majorHAnsi" w:hAnsiTheme="majorHAnsi" w:cstheme="majorHAnsi"/>
        </w:rPr>
        <w:t xml:space="preserve">, </w:t>
      </w:r>
      <w:r w:rsidR="002761ED" w:rsidRPr="003E45EA">
        <w:rPr>
          <w:rFonts w:asciiTheme="majorHAnsi" w:hAnsiTheme="majorHAnsi" w:cstheme="majorHAnsi"/>
        </w:rPr>
        <w:t xml:space="preserve"> a </w:t>
      </w:r>
      <w:r w:rsidR="002761ED" w:rsidRPr="003E45EA">
        <w:rPr>
          <w:rFonts w:asciiTheme="majorHAnsi" w:hAnsiTheme="majorHAnsi" w:cstheme="majorHAnsi"/>
          <w:b/>
          <w:bCs/>
        </w:rPr>
        <w:t>soft landing is still on the cards</w:t>
      </w:r>
      <w:r w:rsidR="002761ED" w:rsidRPr="003E45EA">
        <w:rPr>
          <w:rFonts w:asciiTheme="majorHAnsi" w:hAnsiTheme="majorHAnsi" w:cstheme="majorHAnsi"/>
        </w:rPr>
        <w:t xml:space="preserve">. Markets take the lead from </w:t>
      </w:r>
      <w:r w:rsidR="00B52912" w:rsidRPr="003E45EA">
        <w:rPr>
          <w:rFonts w:asciiTheme="majorHAnsi" w:hAnsiTheme="majorHAnsi" w:cstheme="majorHAnsi"/>
        </w:rPr>
        <w:t xml:space="preserve">what is happening in the </w:t>
      </w:r>
      <w:r w:rsidR="00931211" w:rsidRPr="003E45EA">
        <w:rPr>
          <w:rFonts w:asciiTheme="majorHAnsi" w:hAnsiTheme="majorHAnsi" w:cstheme="majorHAnsi"/>
        </w:rPr>
        <w:t xml:space="preserve">global markets </w:t>
      </w:r>
      <w:r w:rsidR="002761ED" w:rsidRPr="003E45EA">
        <w:rPr>
          <w:rFonts w:asciiTheme="majorHAnsi" w:hAnsiTheme="majorHAnsi" w:cstheme="majorHAnsi"/>
        </w:rPr>
        <w:t>as this</w:t>
      </w:r>
      <w:r w:rsidR="0002488F" w:rsidRPr="003E45EA">
        <w:rPr>
          <w:rFonts w:asciiTheme="majorHAnsi" w:hAnsiTheme="majorHAnsi" w:cstheme="majorHAnsi"/>
        </w:rPr>
        <w:t xml:space="preserve"> </w:t>
      </w:r>
      <w:r w:rsidR="00A82292" w:rsidRPr="003E45EA">
        <w:rPr>
          <w:rFonts w:asciiTheme="majorHAnsi" w:hAnsiTheme="majorHAnsi" w:cstheme="majorHAnsi"/>
        </w:rPr>
        <w:t>directly impact</w:t>
      </w:r>
      <w:r w:rsidR="002761ED" w:rsidRPr="003E45EA">
        <w:rPr>
          <w:rFonts w:asciiTheme="majorHAnsi" w:hAnsiTheme="majorHAnsi" w:cstheme="majorHAnsi"/>
        </w:rPr>
        <w:t>s</w:t>
      </w:r>
      <w:r w:rsidR="00A82292" w:rsidRPr="003E45EA">
        <w:rPr>
          <w:rFonts w:asciiTheme="majorHAnsi" w:hAnsiTheme="majorHAnsi" w:cstheme="majorHAnsi"/>
        </w:rPr>
        <w:t xml:space="preserve"> our markets </w:t>
      </w:r>
      <w:r w:rsidR="002761ED" w:rsidRPr="003E45EA">
        <w:rPr>
          <w:rFonts w:asciiTheme="majorHAnsi" w:hAnsiTheme="majorHAnsi" w:cstheme="majorHAnsi"/>
        </w:rPr>
        <w:t>given</w:t>
      </w:r>
      <w:r w:rsidR="00A82292" w:rsidRPr="003E45EA">
        <w:rPr>
          <w:rFonts w:asciiTheme="majorHAnsi" w:hAnsiTheme="majorHAnsi" w:cstheme="majorHAnsi"/>
        </w:rPr>
        <w:t xml:space="preserve"> </w:t>
      </w:r>
      <w:r w:rsidR="00457450" w:rsidRPr="003E45EA">
        <w:rPr>
          <w:rFonts w:asciiTheme="majorHAnsi" w:hAnsiTheme="majorHAnsi" w:cstheme="majorHAnsi"/>
        </w:rPr>
        <w:t xml:space="preserve">there is </w:t>
      </w:r>
      <w:r w:rsidR="0002488F" w:rsidRPr="003E45EA">
        <w:rPr>
          <w:rFonts w:asciiTheme="majorHAnsi" w:hAnsiTheme="majorHAnsi" w:cstheme="majorHAnsi"/>
        </w:rPr>
        <w:t>align</w:t>
      </w:r>
      <w:r w:rsidR="00457450" w:rsidRPr="003E45EA">
        <w:rPr>
          <w:rFonts w:asciiTheme="majorHAnsi" w:hAnsiTheme="majorHAnsi" w:cstheme="majorHAnsi"/>
        </w:rPr>
        <w:t>ment</w:t>
      </w:r>
      <w:r w:rsidR="0002488F" w:rsidRPr="003E45EA">
        <w:rPr>
          <w:rFonts w:asciiTheme="majorHAnsi" w:hAnsiTheme="majorHAnsi" w:cstheme="majorHAnsi"/>
        </w:rPr>
        <w:t xml:space="preserve"> in trade terms </w:t>
      </w:r>
      <w:r w:rsidR="00931211" w:rsidRPr="003E45EA">
        <w:rPr>
          <w:rFonts w:asciiTheme="majorHAnsi" w:hAnsiTheme="majorHAnsi" w:cstheme="majorHAnsi"/>
        </w:rPr>
        <w:t xml:space="preserve">but the fallout </w:t>
      </w:r>
      <w:r w:rsidR="00A82292" w:rsidRPr="003E45EA">
        <w:rPr>
          <w:rFonts w:asciiTheme="majorHAnsi" w:hAnsiTheme="majorHAnsi" w:cstheme="majorHAnsi"/>
        </w:rPr>
        <w:t xml:space="preserve">remains </w:t>
      </w:r>
      <w:r w:rsidR="00931211" w:rsidRPr="003E45EA">
        <w:rPr>
          <w:rFonts w:asciiTheme="majorHAnsi" w:hAnsiTheme="majorHAnsi" w:cstheme="majorHAnsi"/>
        </w:rPr>
        <w:t xml:space="preserve">mitigated given our </w:t>
      </w:r>
      <w:r w:rsidR="00005474" w:rsidRPr="003E45EA">
        <w:rPr>
          <w:rFonts w:asciiTheme="majorHAnsi" w:hAnsiTheme="majorHAnsi" w:cstheme="majorHAnsi"/>
        </w:rPr>
        <w:t xml:space="preserve">immigration, </w:t>
      </w:r>
      <w:r w:rsidR="00931211" w:rsidRPr="003E45EA">
        <w:rPr>
          <w:rFonts w:asciiTheme="majorHAnsi" w:hAnsiTheme="majorHAnsi" w:cstheme="majorHAnsi"/>
        </w:rPr>
        <w:t xml:space="preserve">agricultural and resource assets. </w:t>
      </w:r>
    </w:p>
    <w:p w14:paraId="674E0578" w14:textId="6E4B1184" w:rsidR="00967859" w:rsidRPr="003E45EA" w:rsidRDefault="00D110CF" w:rsidP="004273DE">
      <w:pPr>
        <w:spacing w:before="120" w:after="120"/>
        <w:rPr>
          <w:rFonts w:asciiTheme="majorHAnsi" w:hAnsiTheme="majorHAnsi" w:cstheme="majorHAnsi"/>
        </w:rPr>
      </w:pPr>
      <w:r w:rsidRPr="003E45EA">
        <w:rPr>
          <w:rFonts w:asciiTheme="majorHAnsi" w:hAnsiTheme="majorHAnsi" w:cstheme="majorHAnsi"/>
        </w:rPr>
        <w:t xml:space="preserve">Tariffs have had a </w:t>
      </w:r>
      <w:r w:rsidRPr="003E45EA">
        <w:rPr>
          <w:rFonts w:asciiTheme="majorHAnsi" w:hAnsiTheme="majorHAnsi" w:cstheme="majorHAnsi"/>
          <w:b/>
          <w:bCs/>
        </w:rPr>
        <w:t>muted impact</w:t>
      </w:r>
      <w:r w:rsidRPr="003E45EA">
        <w:rPr>
          <w:rFonts w:asciiTheme="majorHAnsi" w:hAnsiTheme="majorHAnsi" w:cstheme="majorHAnsi"/>
        </w:rPr>
        <w:t xml:space="preserve"> on our resource sector to date although the market </w:t>
      </w:r>
      <w:r w:rsidR="00967859" w:rsidRPr="003E45EA">
        <w:rPr>
          <w:rFonts w:asciiTheme="majorHAnsi" w:hAnsiTheme="majorHAnsi" w:cstheme="majorHAnsi"/>
        </w:rPr>
        <w:t xml:space="preserve">did </w:t>
      </w:r>
      <w:r w:rsidR="00DE11E9" w:rsidRPr="003E45EA">
        <w:rPr>
          <w:rFonts w:asciiTheme="majorHAnsi" w:hAnsiTheme="majorHAnsi" w:cstheme="majorHAnsi"/>
        </w:rPr>
        <w:t>overreact</w:t>
      </w:r>
      <w:r w:rsidR="00967859" w:rsidRPr="003E45EA">
        <w:rPr>
          <w:rFonts w:asciiTheme="majorHAnsi" w:hAnsiTheme="majorHAnsi" w:cstheme="majorHAnsi"/>
        </w:rPr>
        <w:t xml:space="preserve"> on the downside initially most of which has been unwound of late.</w:t>
      </w:r>
    </w:p>
    <w:p w14:paraId="2DD8849D" w14:textId="7A38498D" w:rsidR="009E17E6" w:rsidRPr="003E45EA" w:rsidRDefault="00A85EE1" w:rsidP="004273DE">
      <w:pPr>
        <w:spacing w:before="120" w:after="120"/>
        <w:rPr>
          <w:rFonts w:asciiTheme="majorHAnsi" w:hAnsiTheme="majorHAnsi" w:cstheme="majorHAnsi"/>
        </w:rPr>
      </w:pPr>
      <w:r w:rsidRPr="003E45EA">
        <w:rPr>
          <w:rFonts w:asciiTheme="majorHAnsi" w:hAnsiTheme="majorHAnsi" w:cstheme="majorHAnsi"/>
        </w:rPr>
        <w:t xml:space="preserve">Company reporting season </w:t>
      </w:r>
      <w:r w:rsidR="00967859" w:rsidRPr="003E45EA">
        <w:rPr>
          <w:rFonts w:asciiTheme="majorHAnsi" w:hAnsiTheme="majorHAnsi" w:cstheme="majorHAnsi"/>
        </w:rPr>
        <w:t>has been</w:t>
      </w:r>
      <w:r w:rsidR="00D110CF" w:rsidRPr="003E45EA">
        <w:rPr>
          <w:rFonts w:asciiTheme="majorHAnsi" w:hAnsiTheme="majorHAnsi" w:cstheme="majorHAnsi"/>
        </w:rPr>
        <w:t xml:space="preserve"> </w:t>
      </w:r>
      <w:r w:rsidR="00DF1608">
        <w:rPr>
          <w:rFonts w:asciiTheme="majorHAnsi" w:hAnsiTheme="majorHAnsi" w:cstheme="majorHAnsi"/>
        </w:rPr>
        <w:t>solid</w:t>
      </w:r>
      <w:r w:rsidR="00D110CF" w:rsidRPr="003E45EA">
        <w:rPr>
          <w:rFonts w:asciiTheme="majorHAnsi" w:hAnsiTheme="majorHAnsi" w:cstheme="majorHAnsi"/>
        </w:rPr>
        <w:t xml:space="preserve"> </w:t>
      </w:r>
      <w:r w:rsidR="00DF1608">
        <w:rPr>
          <w:rFonts w:asciiTheme="majorHAnsi" w:hAnsiTheme="majorHAnsi" w:cstheme="majorHAnsi"/>
        </w:rPr>
        <w:t xml:space="preserve">with </w:t>
      </w:r>
      <w:r w:rsidRPr="003E45EA">
        <w:rPr>
          <w:rFonts w:asciiTheme="majorHAnsi" w:hAnsiTheme="majorHAnsi" w:cstheme="majorHAnsi"/>
        </w:rPr>
        <w:t xml:space="preserve">guidance is being met or exceeded </w:t>
      </w:r>
      <w:r w:rsidR="00D110CF" w:rsidRPr="003E45EA">
        <w:rPr>
          <w:rFonts w:asciiTheme="majorHAnsi" w:hAnsiTheme="majorHAnsi" w:cstheme="majorHAnsi"/>
        </w:rPr>
        <w:t xml:space="preserve">in key industries </w:t>
      </w:r>
      <w:r w:rsidRPr="003E45EA">
        <w:rPr>
          <w:rFonts w:asciiTheme="majorHAnsi" w:hAnsiTheme="majorHAnsi" w:cstheme="majorHAnsi"/>
        </w:rPr>
        <w:t>which will support the positive momentum of the share market.</w:t>
      </w:r>
    </w:p>
    <w:p w14:paraId="6BF46611" w14:textId="554BD651" w:rsidR="00DC3092" w:rsidRPr="003E45EA" w:rsidRDefault="00A85EE1" w:rsidP="004273DE">
      <w:pPr>
        <w:spacing w:before="120" w:after="120"/>
        <w:rPr>
          <w:rFonts w:asciiTheme="majorHAnsi" w:hAnsiTheme="majorHAnsi" w:cstheme="majorHAnsi"/>
        </w:rPr>
      </w:pPr>
      <w:r w:rsidRPr="003E45EA">
        <w:rPr>
          <w:rFonts w:asciiTheme="majorHAnsi" w:hAnsiTheme="majorHAnsi" w:cstheme="majorHAnsi"/>
          <w:b/>
          <w:bCs/>
        </w:rPr>
        <w:t xml:space="preserve">The </w:t>
      </w:r>
      <w:r w:rsidR="00DC3092" w:rsidRPr="003E45EA">
        <w:rPr>
          <w:rFonts w:asciiTheme="majorHAnsi" w:hAnsiTheme="majorHAnsi" w:cstheme="majorHAnsi"/>
          <w:b/>
          <w:bCs/>
        </w:rPr>
        <w:t>Middle East political unrest</w:t>
      </w:r>
      <w:r w:rsidRPr="003E45EA">
        <w:rPr>
          <w:rFonts w:asciiTheme="majorHAnsi" w:hAnsiTheme="majorHAnsi" w:cstheme="majorHAnsi"/>
          <w:b/>
          <w:bCs/>
        </w:rPr>
        <w:t xml:space="preserve"> </w:t>
      </w:r>
      <w:r w:rsidRPr="003E45EA">
        <w:rPr>
          <w:rFonts w:asciiTheme="majorHAnsi" w:hAnsiTheme="majorHAnsi" w:cstheme="majorHAnsi"/>
        </w:rPr>
        <w:t>is a background factor that is not easily solved.</w:t>
      </w:r>
      <w:r w:rsidR="00DC3092" w:rsidRPr="003E45EA">
        <w:rPr>
          <w:rFonts w:asciiTheme="majorHAnsi" w:hAnsiTheme="majorHAnsi" w:cstheme="majorHAnsi"/>
          <w:b/>
          <w:bCs/>
        </w:rPr>
        <w:t xml:space="preserve"> </w:t>
      </w:r>
      <w:r w:rsidR="009F26B6" w:rsidRPr="003E45EA">
        <w:rPr>
          <w:rFonts w:asciiTheme="majorHAnsi" w:hAnsiTheme="majorHAnsi" w:cstheme="majorHAnsi"/>
        </w:rPr>
        <w:t>Let us</w:t>
      </w:r>
      <w:r w:rsidR="00DC3092" w:rsidRPr="003E45EA">
        <w:rPr>
          <w:rFonts w:asciiTheme="majorHAnsi" w:hAnsiTheme="majorHAnsi" w:cstheme="majorHAnsi"/>
        </w:rPr>
        <w:t xml:space="preserve"> hope the situation </w:t>
      </w:r>
      <w:r w:rsidR="009F26B6" w:rsidRPr="003E45EA">
        <w:rPr>
          <w:rFonts w:asciiTheme="majorHAnsi" w:hAnsiTheme="majorHAnsi" w:cstheme="majorHAnsi"/>
        </w:rPr>
        <w:t>will be</w:t>
      </w:r>
      <w:r w:rsidR="00DC3092" w:rsidRPr="003E45EA">
        <w:rPr>
          <w:rFonts w:asciiTheme="majorHAnsi" w:hAnsiTheme="majorHAnsi" w:cstheme="majorHAnsi"/>
        </w:rPr>
        <w:t xml:space="preserve"> contained and a solution that ceases further aggression and violence is forthcoming.</w:t>
      </w:r>
    </w:p>
    <w:p w14:paraId="554EA2E1" w14:textId="571561B4" w:rsidR="00D06704" w:rsidRPr="003E45EA" w:rsidRDefault="002761ED" w:rsidP="009E7EF6">
      <w:pPr>
        <w:rPr>
          <w:rFonts w:asciiTheme="majorHAnsi" w:hAnsiTheme="majorHAnsi" w:cstheme="majorHAnsi"/>
        </w:rPr>
      </w:pPr>
      <w:r w:rsidRPr="003E45EA">
        <w:rPr>
          <w:rFonts w:asciiTheme="majorHAnsi" w:hAnsiTheme="majorHAnsi" w:cstheme="majorHAnsi"/>
          <w:b/>
          <w:bCs/>
        </w:rPr>
        <w:t>Global m</w:t>
      </w:r>
      <w:r w:rsidR="004A734E" w:rsidRPr="003E45EA">
        <w:rPr>
          <w:rFonts w:asciiTheme="majorHAnsi" w:hAnsiTheme="majorHAnsi" w:cstheme="majorHAnsi"/>
          <w:b/>
          <w:bCs/>
        </w:rPr>
        <w:t>arkets</w:t>
      </w:r>
      <w:r w:rsidR="004A734E" w:rsidRPr="003E45EA">
        <w:rPr>
          <w:rFonts w:asciiTheme="majorHAnsi" w:hAnsiTheme="majorHAnsi" w:cstheme="majorHAnsi"/>
        </w:rPr>
        <w:t xml:space="preserve"> have </w:t>
      </w:r>
      <w:r w:rsidR="00B52912" w:rsidRPr="003E45EA">
        <w:rPr>
          <w:rFonts w:asciiTheme="majorHAnsi" w:hAnsiTheme="majorHAnsi" w:cstheme="majorHAnsi"/>
        </w:rPr>
        <w:t xml:space="preserve">already </w:t>
      </w:r>
      <w:r w:rsidR="00A013B5" w:rsidRPr="003E45EA">
        <w:rPr>
          <w:rFonts w:asciiTheme="majorHAnsi" w:hAnsiTheme="majorHAnsi" w:cstheme="majorHAnsi"/>
        </w:rPr>
        <w:t>weathered tough conditions</w:t>
      </w:r>
      <w:r w:rsidR="004A734E" w:rsidRPr="003E45EA">
        <w:rPr>
          <w:rFonts w:asciiTheme="majorHAnsi" w:hAnsiTheme="majorHAnsi" w:cstheme="majorHAnsi"/>
        </w:rPr>
        <w:t xml:space="preserve"> </w:t>
      </w:r>
      <w:r w:rsidR="00005474" w:rsidRPr="003E45EA">
        <w:rPr>
          <w:rFonts w:asciiTheme="majorHAnsi" w:hAnsiTheme="majorHAnsi" w:cstheme="majorHAnsi"/>
        </w:rPr>
        <w:t>over 202</w:t>
      </w:r>
      <w:r w:rsidR="00F34F1A">
        <w:rPr>
          <w:rFonts w:asciiTheme="majorHAnsi" w:hAnsiTheme="majorHAnsi" w:cstheme="majorHAnsi"/>
        </w:rPr>
        <w:t>4</w:t>
      </w:r>
      <w:r w:rsidR="007D1BED" w:rsidRPr="003E45EA">
        <w:rPr>
          <w:rFonts w:asciiTheme="majorHAnsi" w:hAnsiTheme="majorHAnsi" w:cstheme="majorHAnsi"/>
        </w:rPr>
        <w:t>/2</w:t>
      </w:r>
      <w:r w:rsidR="00F34F1A">
        <w:rPr>
          <w:rFonts w:asciiTheme="majorHAnsi" w:hAnsiTheme="majorHAnsi" w:cstheme="majorHAnsi"/>
        </w:rPr>
        <w:t>5</w:t>
      </w:r>
      <w:r w:rsidR="00005474" w:rsidRPr="003E45EA">
        <w:rPr>
          <w:rFonts w:asciiTheme="majorHAnsi" w:hAnsiTheme="majorHAnsi" w:cstheme="majorHAnsi"/>
        </w:rPr>
        <w:t xml:space="preserve"> </w:t>
      </w:r>
      <w:r w:rsidR="004A734E" w:rsidRPr="003E45EA">
        <w:rPr>
          <w:rFonts w:asciiTheme="majorHAnsi" w:hAnsiTheme="majorHAnsi" w:cstheme="majorHAnsi"/>
        </w:rPr>
        <w:t xml:space="preserve">and </w:t>
      </w:r>
      <w:r w:rsidR="00005474" w:rsidRPr="003E45EA">
        <w:rPr>
          <w:rFonts w:asciiTheme="majorHAnsi" w:hAnsiTheme="majorHAnsi" w:cstheme="majorHAnsi"/>
        </w:rPr>
        <w:t xml:space="preserve">now </w:t>
      </w:r>
      <w:r w:rsidR="00B52912" w:rsidRPr="003E45EA">
        <w:rPr>
          <w:rFonts w:asciiTheme="majorHAnsi" w:hAnsiTheme="majorHAnsi" w:cstheme="majorHAnsi"/>
        </w:rPr>
        <w:t xml:space="preserve">there is </w:t>
      </w:r>
      <w:r w:rsidR="004A734E" w:rsidRPr="003E45EA">
        <w:rPr>
          <w:rFonts w:asciiTheme="majorHAnsi" w:hAnsiTheme="majorHAnsi" w:cstheme="majorHAnsi"/>
        </w:rPr>
        <w:t xml:space="preserve">economic evidence pointing to a </w:t>
      </w:r>
      <w:r w:rsidR="007D1BED" w:rsidRPr="003E45EA">
        <w:rPr>
          <w:rFonts w:asciiTheme="majorHAnsi" w:hAnsiTheme="majorHAnsi" w:cstheme="majorHAnsi"/>
          <w:b/>
          <w:bCs/>
        </w:rPr>
        <w:t>soft landing</w:t>
      </w:r>
      <w:r w:rsidR="007D1BED" w:rsidRPr="003E45EA">
        <w:rPr>
          <w:rFonts w:asciiTheme="majorHAnsi" w:hAnsiTheme="majorHAnsi" w:cstheme="majorHAnsi"/>
        </w:rPr>
        <w:t xml:space="preserve"> rather than a mild recession</w:t>
      </w:r>
      <w:r w:rsidR="00B52912" w:rsidRPr="003E45EA">
        <w:rPr>
          <w:rFonts w:asciiTheme="majorHAnsi" w:hAnsiTheme="majorHAnsi" w:cstheme="majorHAnsi"/>
        </w:rPr>
        <w:t xml:space="preserve"> </w:t>
      </w:r>
      <w:r w:rsidR="0002488F" w:rsidRPr="003E45EA">
        <w:rPr>
          <w:rFonts w:asciiTheme="majorHAnsi" w:hAnsiTheme="majorHAnsi" w:cstheme="majorHAnsi"/>
        </w:rPr>
        <w:t xml:space="preserve">in the US and </w:t>
      </w:r>
      <w:r w:rsidR="00967859" w:rsidRPr="003E45EA">
        <w:rPr>
          <w:rFonts w:asciiTheme="majorHAnsi" w:hAnsiTheme="majorHAnsi" w:cstheme="majorHAnsi"/>
        </w:rPr>
        <w:t xml:space="preserve">pockets of growth emerging for </w:t>
      </w:r>
      <w:r w:rsidR="0002488F" w:rsidRPr="003E45EA">
        <w:rPr>
          <w:rFonts w:asciiTheme="majorHAnsi" w:hAnsiTheme="majorHAnsi" w:cstheme="majorHAnsi"/>
        </w:rPr>
        <w:t>Europe</w:t>
      </w:r>
      <w:r w:rsidR="00F34F1A">
        <w:rPr>
          <w:rFonts w:asciiTheme="majorHAnsi" w:hAnsiTheme="majorHAnsi" w:cstheme="majorHAnsi"/>
        </w:rPr>
        <w:t xml:space="preserve"> and Asia</w:t>
      </w:r>
      <w:r w:rsidR="00967859" w:rsidRPr="003E45EA">
        <w:rPr>
          <w:rFonts w:asciiTheme="majorHAnsi" w:hAnsiTheme="majorHAnsi" w:cstheme="majorHAnsi"/>
        </w:rPr>
        <w:t>.</w:t>
      </w:r>
    </w:p>
    <w:p w14:paraId="67B2D452" w14:textId="1A2EE392" w:rsidR="004B17FB" w:rsidRPr="003E45EA" w:rsidRDefault="00005474" w:rsidP="009E7EF6">
      <w:pPr>
        <w:rPr>
          <w:rFonts w:asciiTheme="majorHAnsi" w:hAnsiTheme="majorHAnsi" w:cstheme="majorHAnsi"/>
        </w:rPr>
      </w:pPr>
      <w:r w:rsidRPr="003E45EA">
        <w:rPr>
          <w:rFonts w:asciiTheme="majorHAnsi" w:hAnsiTheme="majorHAnsi" w:cstheme="majorHAnsi"/>
          <w:b/>
          <w:bCs/>
        </w:rPr>
        <w:t>M</w:t>
      </w:r>
      <w:r w:rsidR="004A734E" w:rsidRPr="003E45EA">
        <w:rPr>
          <w:rFonts w:asciiTheme="majorHAnsi" w:hAnsiTheme="majorHAnsi" w:cstheme="majorHAnsi"/>
          <w:b/>
          <w:bCs/>
        </w:rPr>
        <w:t>arkets are forward looking</w:t>
      </w:r>
      <w:r w:rsidR="004A734E" w:rsidRPr="003E45EA">
        <w:rPr>
          <w:rFonts w:asciiTheme="majorHAnsi" w:hAnsiTheme="majorHAnsi" w:cstheme="majorHAnsi"/>
        </w:rPr>
        <w:t xml:space="preserve">, so </w:t>
      </w:r>
      <w:r w:rsidR="00F43A7D" w:rsidRPr="003E45EA">
        <w:rPr>
          <w:rFonts w:asciiTheme="majorHAnsi" w:hAnsiTheme="majorHAnsi" w:cstheme="majorHAnsi"/>
        </w:rPr>
        <w:t>it is</w:t>
      </w:r>
      <w:r w:rsidR="004A734E" w:rsidRPr="003E45EA">
        <w:rPr>
          <w:rFonts w:asciiTheme="majorHAnsi" w:hAnsiTheme="majorHAnsi" w:cstheme="majorHAnsi"/>
        </w:rPr>
        <w:t xml:space="preserve"> likely they </w:t>
      </w:r>
      <w:r w:rsidRPr="003E45EA">
        <w:rPr>
          <w:rFonts w:asciiTheme="majorHAnsi" w:hAnsiTheme="majorHAnsi" w:cstheme="majorHAnsi"/>
        </w:rPr>
        <w:t>have</w:t>
      </w:r>
      <w:r w:rsidR="004A734E" w:rsidRPr="003E45EA">
        <w:rPr>
          <w:rFonts w:asciiTheme="majorHAnsi" w:hAnsiTheme="majorHAnsi" w:cstheme="majorHAnsi"/>
        </w:rPr>
        <w:t xml:space="preserve"> </w:t>
      </w:r>
      <w:r w:rsidR="00A87E3A">
        <w:rPr>
          <w:rFonts w:asciiTheme="majorHAnsi" w:hAnsiTheme="majorHAnsi" w:cstheme="majorHAnsi"/>
        </w:rPr>
        <w:t>taken a positive view of what lies ahead and started adding to positions ahead of the rest of the company reporting season.</w:t>
      </w:r>
      <w:r w:rsidR="00DF2504" w:rsidRPr="003E45EA">
        <w:rPr>
          <w:rFonts w:asciiTheme="majorHAnsi" w:hAnsiTheme="majorHAnsi" w:cstheme="majorHAnsi"/>
          <w:b/>
          <w:bCs/>
        </w:rPr>
        <w:t xml:space="preserve"> </w:t>
      </w:r>
      <w:r w:rsidR="00EF6467" w:rsidRPr="003E45EA">
        <w:rPr>
          <w:rFonts w:asciiTheme="majorHAnsi" w:hAnsiTheme="majorHAnsi" w:cstheme="majorHAnsi"/>
        </w:rPr>
        <w:t>We</w:t>
      </w:r>
      <w:r w:rsidR="00F1304B" w:rsidRPr="003E45EA">
        <w:rPr>
          <w:rFonts w:asciiTheme="majorHAnsi" w:hAnsiTheme="majorHAnsi" w:cstheme="majorHAnsi"/>
        </w:rPr>
        <w:t xml:space="preserve"> </w:t>
      </w:r>
      <w:r w:rsidRPr="003E45EA">
        <w:rPr>
          <w:rFonts w:asciiTheme="majorHAnsi" w:hAnsiTheme="majorHAnsi" w:cstheme="majorHAnsi"/>
        </w:rPr>
        <w:t xml:space="preserve">suspect we </w:t>
      </w:r>
      <w:r w:rsidR="00F1304B" w:rsidRPr="003E45EA">
        <w:rPr>
          <w:rFonts w:asciiTheme="majorHAnsi" w:hAnsiTheme="majorHAnsi" w:cstheme="majorHAnsi"/>
        </w:rPr>
        <w:t>have</w:t>
      </w:r>
      <w:r w:rsidR="00EF6467" w:rsidRPr="003E45EA">
        <w:rPr>
          <w:rFonts w:asciiTheme="majorHAnsi" w:hAnsiTheme="majorHAnsi" w:cstheme="majorHAnsi"/>
        </w:rPr>
        <w:t xml:space="preserve"> just</w:t>
      </w:r>
      <w:r w:rsidR="00F1304B" w:rsidRPr="003E45EA">
        <w:rPr>
          <w:rFonts w:asciiTheme="majorHAnsi" w:hAnsiTheme="majorHAnsi" w:cstheme="majorHAnsi"/>
        </w:rPr>
        <w:t xml:space="preserve"> seen the start of that recovery process</w:t>
      </w:r>
      <w:r w:rsidR="00067753" w:rsidRPr="003E45EA">
        <w:rPr>
          <w:rFonts w:asciiTheme="majorHAnsi" w:hAnsiTheme="majorHAnsi" w:cstheme="majorHAnsi"/>
        </w:rPr>
        <w:t xml:space="preserve"> and </w:t>
      </w:r>
      <w:r w:rsidR="00067753" w:rsidRPr="003E45EA">
        <w:rPr>
          <w:rFonts w:asciiTheme="majorHAnsi" w:hAnsiTheme="majorHAnsi" w:cstheme="majorHAnsi"/>
          <w:b/>
          <w:bCs/>
        </w:rPr>
        <w:t>the recent volatility is simply the ebb and flow of markets</w:t>
      </w:r>
      <w:r w:rsidR="00067753" w:rsidRPr="003E45EA">
        <w:rPr>
          <w:rFonts w:asciiTheme="majorHAnsi" w:hAnsiTheme="majorHAnsi" w:cstheme="majorHAnsi"/>
        </w:rPr>
        <w:t>.</w:t>
      </w:r>
    </w:p>
    <w:p w14:paraId="485625AC" w14:textId="32492DDB" w:rsidR="00DA7237" w:rsidRPr="003E45EA" w:rsidRDefault="00B52912" w:rsidP="006E0DCD">
      <w:pPr>
        <w:rPr>
          <w:rFonts w:asciiTheme="majorHAnsi" w:hAnsiTheme="majorHAnsi" w:cstheme="majorHAnsi"/>
        </w:rPr>
      </w:pPr>
      <w:r w:rsidRPr="003E45EA">
        <w:rPr>
          <w:rFonts w:asciiTheme="majorHAnsi" w:hAnsiTheme="majorHAnsi" w:cstheme="majorHAnsi"/>
        </w:rPr>
        <w:t xml:space="preserve">Fingers crossed </w:t>
      </w:r>
      <w:r w:rsidR="004A1535" w:rsidRPr="003E45EA">
        <w:rPr>
          <w:rFonts w:asciiTheme="majorHAnsi" w:hAnsiTheme="majorHAnsi" w:cstheme="majorHAnsi"/>
        </w:rPr>
        <w:t xml:space="preserve">monetary policy </w:t>
      </w:r>
      <w:r w:rsidR="00412A09" w:rsidRPr="003E45EA">
        <w:rPr>
          <w:rFonts w:asciiTheme="majorHAnsi" w:hAnsiTheme="majorHAnsi" w:cstheme="majorHAnsi"/>
        </w:rPr>
        <w:t xml:space="preserve">direction </w:t>
      </w:r>
      <w:r w:rsidR="00513CA7" w:rsidRPr="003E45EA">
        <w:rPr>
          <w:rFonts w:asciiTheme="majorHAnsi" w:hAnsiTheme="majorHAnsi" w:cstheme="majorHAnsi"/>
        </w:rPr>
        <w:t xml:space="preserve">remains </w:t>
      </w:r>
      <w:r w:rsidR="00DF2504" w:rsidRPr="003E45EA">
        <w:rPr>
          <w:rFonts w:asciiTheme="majorHAnsi" w:hAnsiTheme="majorHAnsi" w:cstheme="majorHAnsi"/>
        </w:rPr>
        <w:t xml:space="preserve">accommodative and </w:t>
      </w:r>
      <w:r w:rsidR="00513CA7" w:rsidRPr="003E45EA">
        <w:rPr>
          <w:rFonts w:asciiTheme="majorHAnsi" w:hAnsiTheme="majorHAnsi" w:cstheme="majorHAnsi"/>
        </w:rPr>
        <w:t xml:space="preserve">trending towards </w:t>
      </w:r>
      <w:r w:rsidR="00DF2504" w:rsidRPr="003E45EA">
        <w:rPr>
          <w:rFonts w:asciiTheme="majorHAnsi" w:hAnsiTheme="majorHAnsi" w:cstheme="majorHAnsi"/>
        </w:rPr>
        <w:t>further</w:t>
      </w:r>
      <w:r w:rsidR="00513CA7" w:rsidRPr="003E45EA">
        <w:rPr>
          <w:rFonts w:asciiTheme="majorHAnsi" w:hAnsiTheme="majorHAnsi" w:cstheme="majorHAnsi"/>
        </w:rPr>
        <w:t xml:space="preserve"> easing in the months ahead which hopefully, </w:t>
      </w:r>
      <w:r w:rsidR="00CB75C6" w:rsidRPr="003E45EA">
        <w:rPr>
          <w:rFonts w:asciiTheme="majorHAnsi" w:hAnsiTheme="majorHAnsi" w:cstheme="majorHAnsi"/>
        </w:rPr>
        <w:t xml:space="preserve">will lead to </w:t>
      </w:r>
      <w:r w:rsidR="004A1535" w:rsidRPr="003E45EA">
        <w:rPr>
          <w:rFonts w:asciiTheme="majorHAnsi" w:hAnsiTheme="majorHAnsi" w:cstheme="majorHAnsi"/>
        </w:rPr>
        <w:t xml:space="preserve">a </w:t>
      </w:r>
      <w:r w:rsidR="00733FAC" w:rsidRPr="003E45EA">
        <w:rPr>
          <w:rFonts w:asciiTheme="majorHAnsi" w:hAnsiTheme="majorHAnsi" w:cstheme="majorHAnsi"/>
        </w:rPr>
        <w:t xml:space="preserve">moderation in prices </w:t>
      </w:r>
      <w:r w:rsidR="00CB75C6" w:rsidRPr="003E45EA">
        <w:rPr>
          <w:rFonts w:asciiTheme="majorHAnsi" w:hAnsiTheme="majorHAnsi" w:cstheme="majorHAnsi"/>
        </w:rPr>
        <w:t xml:space="preserve">and </w:t>
      </w:r>
      <w:r w:rsidR="00922434" w:rsidRPr="003E45EA">
        <w:rPr>
          <w:rFonts w:asciiTheme="majorHAnsi" w:hAnsiTheme="majorHAnsi" w:cstheme="majorHAnsi"/>
        </w:rPr>
        <w:t xml:space="preserve">the start of </w:t>
      </w:r>
      <w:r w:rsidR="00733FAC" w:rsidRPr="003E45EA">
        <w:rPr>
          <w:rFonts w:asciiTheme="majorHAnsi" w:hAnsiTheme="majorHAnsi" w:cstheme="majorHAnsi"/>
        </w:rPr>
        <w:t xml:space="preserve">a more stable </w:t>
      </w:r>
      <w:r w:rsidR="00D06704" w:rsidRPr="003E45EA">
        <w:rPr>
          <w:rFonts w:asciiTheme="majorHAnsi" w:hAnsiTheme="majorHAnsi" w:cstheme="majorHAnsi"/>
        </w:rPr>
        <w:t xml:space="preserve">global </w:t>
      </w:r>
      <w:r w:rsidR="00CB75C6" w:rsidRPr="003E45EA">
        <w:rPr>
          <w:rFonts w:asciiTheme="majorHAnsi" w:hAnsiTheme="majorHAnsi" w:cstheme="majorHAnsi"/>
        </w:rPr>
        <w:t xml:space="preserve">growth </w:t>
      </w:r>
      <w:r w:rsidR="00733FAC" w:rsidRPr="003E45EA">
        <w:rPr>
          <w:rFonts w:asciiTheme="majorHAnsi" w:hAnsiTheme="majorHAnsi" w:cstheme="majorHAnsi"/>
        </w:rPr>
        <w:t>platform</w:t>
      </w:r>
      <w:r w:rsidR="004B17FB" w:rsidRPr="003E45EA">
        <w:rPr>
          <w:rFonts w:asciiTheme="majorHAnsi" w:hAnsiTheme="majorHAnsi" w:cstheme="majorHAnsi"/>
        </w:rPr>
        <w:t>.</w:t>
      </w:r>
      <w:r w:rsidR="00CB75C6" w:rsidRPr="003E45EA">
        <w:rPr>
          <w:rFonts w:asciiTheme="majorHAnsi" w:hAnsiTheme="majorHAnsi" w:cstheme="majorHAnsi"/>
        </w:rPr>
        <w:t xml:space="preserve"> </w:t>
      </w:r>
    </w:p>
    <w:p w14:paraId="59ED9EB9" w14:textId="77777777" w:rsidR="00A51B7A" w:rsidRPr="003E45EA" w:rsidRDefault="00A51B7A" w:rsidP="0090611C">
      <w:pPr>
        <w:rPr>
          <w:rFonts w:asciiTheme="majorHAnsi" w:hAnsiTheme="majorHAnsi" w:cstheme="majorHAnsi"/>
          <w:b/>
          <w:bCs/>
        </w:rPr>
      </w:pPr>
    </w:p>
    <w:p w14:paraId="0CAC2035" w14:textId="77777777" w:rsidR="00A51B7A" w:rsidRPr="003E45EA" w:rsidRDefault="00A51B7A" w:rsidP="0090611C">
      <w:pPr>
        <w:rPr>
          <w:rFonts w:asciiTheme="majorHAnsi" w:hAnsiTheme="majorHAnsi" w:cstheme="majorHAnsi"/>
          <w:b/>
          <w:bCs/>
        </w:rPr>
      </w:pPr>
    </w:p>
    <w:p w14:paraId="6BC50913" w14:textId="77777777" w:rsidR="00A51B7A" w:rsidRDefault="00A51B7A" w:rsidP="0090611C">
      <w:pPr>
        <w:rPr>
          <w:b/>
          <w:bCs/>
        </w:rPr>
      </w:pPr>
    </w:p>
    <w:p w14:paraId="277A5B59" w14:textId="77777777" w:rsidR="00237BF2" w:rsidRDefault="00237BF2" w:rsidP="0090611C">
      <w:pPr>
        <w:rPr>
          <w:b/>
          <w:bCs/>
        </w:rPr>
      </w:pPr>
    </w:p>
    <w:p w14:paraId="20A62BEF" w14:textId="7E9C044C" w:rsidR="009E7EF6" w:rsidRPr="0002488F" w:rsidRDefault="009E7EF6" w:rsidP="0090611C">
      <w:pPr>
        <w:rPr>
          <w:b/>
          <w:bCs/>
        </w:rPr>
      </w:pPr>
      <w:r w:rsidRPr="0002488F">
        <w:rPr>
          <w:b/>
          <w:bCs/>
        </w:rPr>
        <w:t>Footnote</w:t>
      </w:r>
    </w:p>
    <w:p w14:paraId="458C9861" w14:textId="48E1C9EF" w:rsidR="00DE74A4" w:rsidRPr="000F52AB" w:rsidRDefault="009E7EF6" w:rsidP="00421DFB">
      <w:r w:rsidRPr="00A851EE">
        <w:rPr>
          <w:sz w:val="18"/>
        </w:rPr>
        <w:t xml:space="preserve">This market update written by Graham Fox for and on behalf of HNW Planning on </w:t>
      </w:r>
      <w:r w:rsidR="007C6A1F">
        <w:rPr>
          <w:sz w:val="18"/>
        </w:rPr>
        <w:t>1</w:t>
      </w:r>
      <w:r w:rsidR="0040298F">
        <w:rPr>
          <w:sz w:val="18"/>
        </w:rPr>
        <w:t>5</w:t>
      </w:r>
      <w:r w:rsidRPr="00A851EE">
        <w:rPr>
          <w:sz w:val="18"/>
        </w:rPr>
        <w:t>/</w:t>
      </w:r>
      <w:r w:rsidR="00DD4708">
        <w:rPr>
          <w:sz w:val="18"/>
        </w:rPr>
        <w:t>0</w:t>
      </w:r>
      <w:r w:rsidR="0040298F">
        <w:rPr>
          <w:sz w:val="18"/>
        </w:rPr>
        <w:t>9</w:t>
      </w:r>
      <w:r w:rsidR="00C263D7">
        <w:rPr>
          <w:sz w:val="18"/>
        </w:rPr>
        <w:t>/</w:t>
      </w:r>
      <w:r w:rsidRPr="00A851EE">
        <w:rPr>
          <w:sz w:val="18"/>
        </w:rPr>
        <w:t>20</w:t>
      </w:r>
      <w:r w:rsidR="00E37E86">
        <w:rPr>
          <w:sz w:val="18"/>
        </w:rPr>
        <w:t>2</w:t>
      </w:r>
      <w:r w:rsidR="00DD4708">
        <w:rPr>
          <w:sz w:val="18"/>
        </w:rPr>
        <w:t>5</w:t>
      </w:r>
      <w:r w:rsidRPr="00A851EE">
        <w:rPr>
          <w:sz w:val="18"/>
        </w:rPr>
        <w:t>. Graham Fox is a</w:t>
      </w:r>
      <w:r w:rsidR="0057013D">
        <w:rPr>
          <w:sz w:val="18"/>
        </w:rPr>
        <w:t xml:space="preserve">n external asset consultant </w:t>
      </w:r>
      <w:r w:rsidRPr="00A851EE">
        <w:rPr>
          <w:sz w:val="18"/>
        </w:rPr>
        <w:t xml:space="preserve">and </w:t>
      </w:r>
      <w:r w:rsidR="0057013D">
        <w:rPr>
          <w:sz w:val="18"/>
        </w:rPr>
        <w:t xml:space="preserve">consults to the HNW Investment Committee. Graham </w:t>
      </w:r>
      <w:r w:rsidRPr="00A851EE">
        <w:rPr>
          <w:sz w:val="18"/>
        </w:rPr>
        <w:t>has enjoyed a career in financial services covering several private, corporate and investment banking institutions including, Genesys Wealth Advisers (research), Standard &amp; Poor’s Australia (fund ratings), Westpac Private Bank (research, strategy and product), Gold Link Capital (sales and marketing), Challenger Financial Services Group (COO asset management), Deutsche Funds Management (head of treasury), Canadian Imperial Bank of Commerce (regional head of FX), Banque Nationale de Paris, (F/X) and Commercial Bank of Australia (International and Treasury). Graham references material made available from HNW Planning’s' contracted research houses including Lonsec and Morningstar. </w:t>
      </w:r>
      <w:bookmarkEnd w:id="0"/>
    </w:p>
    <w:sectPr w:rsidR="00DE74A4" w:rsidRPr="000F52AB" w:rsidSect="00D94145">
      <w:footerReference w:type="default" r:id="rId21"/>
      <w:pgSz w:w="11906" w:h="16838" w:code="9"/>
      <w:pgMar w:top="2948" w:right="1440" w:bottom="2041"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D48D" w14:textId="77777777" w:rsidR="002E6515" w:rsidRDefault="002E6515" w:rsidP="00EB28A8">
      <w:pPr>
        <w:spacing w:after="0" w:line="240" w:lineRule="auto"/>
      </w:pPr>
      <w:r>
        <w:separator/>
      </w:r>
    </w:p>
  </w:endnote>
  <w:endnote w:type="continuationSeparator" w:id="0">
    <w:p w14:paraId="04FF826F" w14:textId="77777777" w:rsidR="002E6515" w:rsidRDefault="002E6515"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50F119D0" w14:textId="1E7453DC" w:rsidR="00113FD7" w:rsidRDefault="00113F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466587" w14:textId="77777777" w:rsidR="00113FD7" w:rsidRDefault="00113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FE67" w14:textId="77777777" w:rsidR="002E6515" w:rsidRDefault="002E6515" w:rsidP="00EB28A8">
      <w:pPr>
        <w:spacing w:after="0" w:line="240" w:lineRule="auto"/>
      </w:pPr>
      <w:r>
        <w:separator/>
      </w:r>
    </w:p>
  </w:footnote>
  <w:footnote w:type="continuationSeparator" w:id="0">
    <w:p w14:paraId="48D03DCD" w14:textId="77777777" w:rsidR="002E6515" w:rsidRDefault="002E6515" w:rsidP="00EB2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1E8E9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0"/>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1"/>
  </w:num>
  <w:num w:numId="8" w16cid:durableId="1542089249">
    <w:abstractNumId w:val="12"/>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3"/>
  </w:num>
  <w:num w:numId="14" w16cid:durableId="5468395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71"/>
    <w:rsid w:val="000006BC"/>
    <w:rsid w:val="00001072"/>
    <w:rsid w:val="00001213"/>
    <w:rsid w:val="000017A1"/>
    <w:rsid w:val="00001F8C"/>
    <w:rsid w:val="000035CC"/>
    <w:rsid w:val="00004613"/>
    <w:rsid w:val="00005474"/>
    <w:rsid w:val="00006CCB"/>
    <w:rsid w:val="000072B0"/>
    <w:rsid w:val="000073D1"/>
    <w:rsid w:val="00010B1D"/>
    <w:rsid w:val="00011A16"/>
    <w:rsid w:val="00012004"/>
    <w:rsid w:val="00012007"/>
    <w:rsid w:val="00012BF9"/>
    <w:rsid w:val="0001508D"/>
    <w:rsid w:val="0001535B"/>
    <w:rsid w:val="00015597"/>
    <w:rsid w:val="00016329"/>
    <w:rsid w:val="000163D4"/>
    <w:rsid w:val="0001721E"/>
    <w:rsid w:val="000176D2"/>
    <w:rsid w:val="00017812"/>
    <w:rsid w:val="00017B34"/>
    <w:rsid w:val="0002084E"/>
    <w:rsid w:val="000218F1"/>
    <w:rsid w:val="0002201B"/>
    <w:rsid w:val="0002241D"/>
    <w:rsid w:val="00022971"/>
    <w:rsid w:val="00024249"/>
    <w:rsid w:val="0002488F"/>
    <w:rsid w:val="00025089"/>
    <w:rsid w:val="000256B8"/>
    <w:rsid w:val="0002765E"/>
    <w:rsid w:val="0002791C"/>
    <w:rsid w:val="000300E5"/>
    <w:rsid w:val="00030F8D"/>
    <w:rsid w:val="000310AB"/>
    <w:rsid w:val="0003150F"/>
    <w:rsid w:val="00034014"/>
    <w:rsid w:val="000341D2"/>
    <w:rsid w:val="000357BE"/>
    <w:rsid w:val="00036D85"/>
    <w:rsid w:val="00036FDA"/>
    <w:rsid w:val="00037046"/>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1004"/>
    <w:rsid w:val="00051451"/>
    <w:rsid w:val="000530FF"/>
    <w:rsid w:val="00053887"/>
    <w:rsid w:val="00054BDB"/>
    <w:rsid w:val="000558CB"/>
    <w:rsid w:val="00055D2C"/>
    <w:rsid w:val="00055F78"/>
    <w:rsid w:val="000566FA"/>
    <w:rsid w:val="0005674F"/>
    <w:rsid w:val="00056D53"/>
    <w:rsid w:val="0005797F"/>
    <w:rsid w:val="000606FB"/>
    <w:rsid w:val="00060AB6"/>
    <w:rsid w:val="00061657"/>
    <w:rsid w:val="00062337"/>
    <w:rsid w:val="00063F3C"/>
    <w:rsid w:val="00066C19"/>
    <w:rsid w:val="00066E8A"/>
    <w:rsid w:val="00067753"/>
    <w:rsid w:val="000678BF"/>
    <w:rsid w:val="000678F3"/>
    <w:rsid w:val="00070E5E"/>
    <w:rsid w:val="00071486"/>
    <w:rsid w:val="00072B77"/>
    <w:rsid w:val="000732D1"/>
    <w:rsid w:val="000732F1"/>
    <w:rsid w:val="00074A1A"/>
    <w:rsid w:val="000751E0"/>
    <w:rsid w:val="00076007"/>
    <w:rsid w:val="000760AB"/>
    <w:rsid w:val="000764FC"/>
    <w:rsid w:val="00076FD3"/>
    <w:rsid w:val="00077B36"/>
    <w:rsid w:val="00077BE9"/>
    <w:rsid w:val="00080677"/>
    <w:rsid w:val="00080EAF"/>
    <w:rsid w:val="00082606"/>
    <w:rsid w:val="00082AC2"/>
    <w:rsid w:val="00083188"/>
    <w:rsid w:val="000832DC"/>
    <w:rsid w:val="00083932"/>
    <w:rsid w:val="00083A84"/>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A032D"/>
    <w:rsid w:val="000A08BF"/>
    <w:rsid w:val="000A1A15"/>
    <w:rsid w:val="000A26DE"/>
    <w:rsid w:val="000A36E7"/>
    <w:rsid w:val="000A3B2A"/>
    <w:rsid w:val="000A5F08"/>
    <w:rsid w:val="000A6FC0"/>
    <w:rsid w:val="000A7096"/>
    <w:rsid w:val="000A7345"/>
    <w:rsid w:val="000A7689"/>
    <w:rsid w:val="000A7727"/>
    <w:rsid w:val="000A7AA8"/>
    <w:rsid w:val="000A7ACA"/>
    <w:rsid w:val="000B03C8"/>
    <w:rsid w:val="000B053B"/>
    <w:rsid w:val="000B0DED"/>
    <w:rsid w:val="000B12C5"/>
    <w:rsid w:val="000B1350"/>
    <w:rsid w:val="000B1CC6"/>
    <w:rsid w:val="000B2129"/>
    <w:rsid w:val="000B2E0E"/>
    <w:rsid w:val="000B4170"/>
    <w:rsid w:val="000B4202"/>
    <w:rsid w:val="000B4548"/>
    <w:rsid w:val="000B4975"/>
    <w:rsid w:val="000B61C1"/>
    <w:rsid w:val="000B6FDD"/>
    <w:rsid w:val="000B7DF9"/>
    <w:rsid w:val="000B7FFA"/>
    <w:rsid w:val="000C04DA"/>
    <w:rsid w:val="000C0FBA"/>
    <w:rsid w:val="000C13E2"/>
    <w:rsid w:val="000C3188"/>
    <w:rsid w:val="000C3A04"/>
    <w:rsid w:val="000C3E55"/>
    <w:rsid w:val="000C548B"/>
    <w:rsid w:val="000C5E95"/>
    <w:rsid w:val="000C70D2"/>
    <w:rsid w:val="000C7672"/>
    <w:rsid w:val="000D016A"/>
    <w:rsid w:val="000D24CD"/>
    <w:rsid w:val="000D273A"/>
    <w:rsid w:val="000D2914"/>
    <w:rsid w:val="000D2BE8"/>
    <w:rsid w:val="000D2EF0"/>
    <w:rsid w:val="000D3366"/>
    <w:rsid w:val="000D44BE"/>
    <w:rsid w:val="000D4ED4"/>
    <w:rsid w:val="000D513F"/>
    <w:rsid w:val="000D5AC5"/>
    <w:rsid w:val="000D5E2E"/>
    <w:rsid w:val="000E06E1"/>
    <w:rsid w:val="000E2092"/>
    <w:rsid w:val="000E3566"/>
    <w:rsid w:val="000E3D09"/>
    <w:rsid w:val="000E45E4"/>
    <w:rsid w:val="000E7704"/>
    <w:rsid w:val="000F150B"/>
    <w:rsid w:val="000F2053"/>
    <w:rsid w:val="000F2A21"/>
    <w:rsid w:val="000F52AB"/>
    <w:rsid w:val="000F5F52"/>
    <w:rsid w:val="000F60F5"/>
    <w:rsid w:val="000F626C"/>
    <w:rsid w:val="000F6842"/>
    <w:rsid w:val="000F725D"/>
    <w:rsid w:val="000F7387"/>
    <w:rsid w:val="000F75CE"/>
    <w:rsid w:val="000F7783"/>
    <w:rsid w:val="000F7BDA"/>
    <w:rsid w:val="0010043C"/>
    <w:rsid w:val="00102BB6"/>
    <w:rsid w:val="00102E4C"/>
    <w:rsid w:val="0010573F"/>
    <w:rsid w:val="00105BCC"/>
    <w:rsid w:val="00105FA6"/>
    <w:rsid w:val="001066CC"/>
    <w:rsid w:val="00107049"/>
    <w:rsid w:val="00107166"/>
    <w:rsid w:val="001073CA"/>
    <w:rsid w:val="00107972"/>
    <w:rsid w:val="00107D5C"/>
    <w:rsid w:val="00110DCC"/>
    <w:rsid w:val="00110DCD"/>
    <w:rsid w:val="001112B5"/>
    <w:rsid w:val="00111526"/>
    <w:rsid w:val="00111862"/>
    <w:rsid w:val="00111AF6"/>
    <w:rsid w:val="00111F8D"/>
    <w:rsid w:val="001129D6"/>
    <w:rsid w:val="00113FD7"/>
    <w:rsid w:val="00114105"/>
    <w:rsid w:val="0011425F"/>
    <w:rsid w:val="001147D8"/>
    <w:rsid w:val="00114A2E"/>
    <w:rsid w:val="00114FC3"/>
    <w:rsid w:val="00115049"/>
    <w:rsid w:val="00115DDA"/>
    <w:rsid w:val="00115EEE"/>
    <w:rsid w:val="001163C3"/>
    <w:rsid w:val="0011715A"/>
    <w:rsid w:val="00117C94"/>
    <w:rsid w:val="00120449"/>
    <w:rsid w:val="001218BF"/>
    <w:rsid w:val="00122C58"/>
    <w:rsid w:val="00122E58"/>
    <w:rsid w:val="0012379B"/>
    <w:rsid w:val="001239FB"/>
    <w:rsid w:val="00123F12"/>
    <w:rsid w:val="001243C9"/>
    <w:rsid w:val="001244F4"/>
    <w:rsid w:val="001257FA"/>
    <w:rsid w:val="00126DB8"/>
    <w:rsid w:val="00126E28"/>
    <w:rsid w:val="001308C8"/>
    <w:rsid w:val="00131EB9"/>
    <w:rsid w:val="001357C3"/>
    <w:rsid w:val="00136204"/>
    <w:rsid w:val="00136F68"/>
    <w:rsid w:val="00137324"/>
    <w:rsid w:val="0014024A"/>
    <w:rsid w:val="001405F3"/>
    <w:rsid w:val="00140858"/>
    <w:rsid w:val="001415A2"/>
    <w:rsid w:val="00141B5E"/>
    <w:rsid w:val="00143062"/>
    <w:rsid w:val="001440B7"/>
    <w:rsid w:val="0014431E"/>
    <w:rsid w:val="00144655"/>
    <w:rsid w:val="001451A8"/>
    <w:rsid w:val="00145508"/>
    <w:rsid w:val="00147535"/>
    <w:rsid w:val="00147A28"/>
    <w:rsid w:val="00151102"/>
    <w:rsid w:val="0015130E"/>
    <w:rsid w:val="00153932"/>
    <w:rsid w:val="001542BF"/>
    <w:rsid w:val="001545AE"/>
    <w:rsid w:val="00154F9E"/>
    <w:rsid w:val="00155237"/>
    <w:rsid w:val="001558AE"/>
    <w:rsid w:val="00157AF8"/>
    <w:rsid w:val="001616BB"/>
    <w:rsid w:val="0016191A"/>
    <w:rsid w:val="00162A46"/>
    <w:rsid w:val="001632D6"/>
    <w:rsid w:val="00163B7D"/>
    <w:rsid w:val="001642D0"/>
    <w:rsid w:val="001643E3"/>
    <w:rsid w:val="001648D2"/>
    <w:rsid w:val="001652D3"/>
    <w:rsid w:val="0016721D"/>
    <w:rsid w:val="001708EB"/>
    <w:rsid w:val="00170FC0"/>
    <w:rsid w:val="00171550"/>
    <w:rsid w:val="00172116"/>
    <w:rsid w:val="00172387"/>
    <w:rsid w:val="001727F2"/>
    <w:rsid w:val="00173FB8"/>
    <w:rsid w:val="001740F6"/>
    <w:rsid w:val="00175A6F"/>
    <w:rsid w:val="001761C6"/>
    <w:rsid w:val="00176974"/>
    <w:rsid w:val="001777BF"/>
    <w:rsid w:val="00180236"/>
    <w:rsid w:val="001805DE"/>
    <w:rsid w:val="00181027"/>
    <w:rsid w:val="00182717"/>
    <w:rsid w:val="00183082"/>
    <w:rsid w:val="00183405"/>
    <w:rsid w:val="00183EDD"/>
    <w:rsid w:val="001846E3"/>
    <w:rsid w:val="00184AC2"/>
    <w:rsid w:val="00185A79"/>
    <w:rsid w:val="0018703E"/>
    <w:rsid w:val="00187537"/>
    <w:rsid w:val="00187989"/>
    <w:rsid w:val="001879ED"/>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A141A"/>
    <w:rsid w:val="001A1F51"/>
    <w:rsid w:val="001A23BB"/>
    <w:rsid w:val="001A2453"/>
    <w:rsid w:val="001A2DA1"/>
    <w:rsid w:val="001A30BA"/>
    <w:rsid w:val="001A3D53"/>
    <w:rsid w:val="001A4083"/>
    <w:rsid w:val="001A4342"/>
    <w:rsid w:val="001A53DE"/>
    <w:rsid w:val="001A7A42"/>
    <w:rsid w:val="001B06AA"/>
    <w:rsid w:val="001B08D3"/>
    <w:rsid w:val="001B0D6B"/>
    <w:rsid w:val="001B12A9"/>
    <w:rsid w:val="001B1664"/>
    <w:rsid w:val="001B1F88"/>
    <w:rsid w:val="001B3379"/>
    <w:rsid w:val="001B3923"/>
    <w:rsid w:val="001B6CB4"/>
    <w:rsid w:val="001B6DA8"/>
    <w:rsid w:val="001C03FC"/>
    <w:rsid w:val="001C3AA0"/>
    <w:rsid w:val="001C431B"/>
    <w:rsid w:val="001C4340"/>
    <w:rsid w:val="001C4744"/>
    <w:rsid w:val="001C4983"/>
    <w:rsid w:val="001C4A6F"/>
    <w:rsid w:val="001C51F1"/>
    <w:rsid w:val="001C5422"/>
    <w:rsid w:val="001C5785"/>
    <w:rsid w:val="001C5C1E"/>
    <w:rsid w:val="001C71C7"/>
    <w:rsid w:val="001C7E65"/>
    <w:rsid w:val="001D0CB0"/>
    <w:rsid w:val="001D1BE0"/>
    <w:rsid w:val="001D27DC"/>
    <w:rsid w:val="001D4157"/>
    <w:rsid w:val="001D48CC"/>
    <w:rsid w:val="001D4978"/>
    <w:rsid w:val="001D5F2A"/>
    <w:rsid w:val="001D6939"/>
    <w:rsid w:val="001E009D"/>
    <w:rsid w:val="001E0455"/>
    <w:rsid w:val="001E16AE"/>
    <w:rsid w:val="001E2B4C"/>
    <w:rsid w:val="001E2CD5"/>
    <w:rsid w:val="001E3557"/>
    <w:rsid w:val="001E3C77"/>
    <w:rsid w:val="001E5116"/>
    <w:rsid w:val="001E6018"/>
    <w:rsid w:val="001E6034"/>
    <w:rsid w:val="001E64FB"/>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14C5"/>
    <w:rsid w:val="0022166E"/>
    <w:rsid w:val="002218B5"/>
    <w:rsid w:val="00223BED"/>
    <w:rsid w:val="00224632"/>
    <w:rsid w:val="00225A8C"/>
    <w:rsid w:val="00225DE3"/>
    <w:rsid w:val="0022688A"/>
    <w:rsid w:val="00226C85"/>
    <w:rsid w:val="0022755C"/>
    <w:rsid w:val="00227C1C"/>
    <w:rsid w:val="00230A8F"/>
    <w:rsid w:val="0023164B"/>
    <w:rsid w:val="00232598"/>
    <w:rsid w:val="002339AC"/>
    <w:rsid w:val="00233D00"/>
    <w:rsid w:val="002344AE"/>
    <w:rsid w:val="00234D9D"/>
    <w:rsid w:val="002350CD"/>
    <w:rsid w:val="00235353"/>
    <w:rsid w:val="00235AFB"/>
    <w:rsid w:val="00236F73"/>
    <w:rsid w:val="002376A3"/>
    <w:rsid w:val="002378C4"/>
    <w:rsid w:val="00237BF2"/>
    <w:rsid w:val="00240594"/>
    <w:rsid w:val="0024149E"/>
    <w:rsid w:val="002421C2"/>
    <w:rsid w:val="0024288B"/>
    <w:rsid w:val="00242925"/>
    <w:rsid w:val="00242BF1"/>
    <w:rsid w:val="002431FA"/>
    <w:rsid w:val="0024668D"/>
    <w:rsid w:val="00246A5B"/>
    <w:rsid w:val="00247C5F"/>
    <w:rsid w:val="00247E87"/>
    <w:rsid w:val="0025086B"/>
    <w:rsid w:val="00252B3E"/>
    <w:rsid w:val="002537E1"/>
    <w:rsid w:val="00254B16"/>
    <w:rsid w:val="0025538C"/>
    <w:rsid w:val="0025660A"/>
    <w:rsid w:val="00256EB9"/>
    <w:rsid w:val="002570D5"/>
    <w:rsid w:val="0025751D"/>
    <w:rsid w:val="00257621"/>
    <w:rsid w:val="00260221"/>
    <w:rsid w:val="00260264"/>
    <w:rsid w:val="00260D16"/>
    <w:rsid w:val="002616C9"/>
    <w:rsid w:val="002627B9"/>
    <w:rsid w:val="00263E8C"/>
    <w:rsid w:val="002645FE"/>
    <w:rsid w:val="00264C67"/>
    <w:rsid w:val="00264F56"/>
    <w:rsid w:val="002656F2"/>
    <w:rsid w:val="002668D8"/>
    <w:rsid w:val="002671FD"/>
    <w:rsid w:val="00267CCC"/>
    <w:rsid w:val="002702CD"/>
    <w:rsid w:val="002702F6"/>
    <w:rsid w:val="00270718"/>
    <w:rsid w:val="002709A4"/>
    <w:rsid w:val="002710BC"/>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B38"/>
    <w:rsid w:val="0029438A"/>
    <w:rsid w:val="00294D11"/>
    <w:rsid w:val="00295134"/>
    <w:rsid w:val="00295529"/>
    <w:rsid w:val="00295617"/>
    <w:rsid w:val="00296293"/>
    <w:rsid w:val="00296984"/>
    <w:rsid w:val="00296BDA"/>
    <w:rsid w:val="00296C83"/>
    <w:rsid w:val="002977F8"/>
    <w:rsid w:val="002A02F8"/>
    <w:rsid w:val="002A13EC"/>
    <w:rsid w:val="002A21DA"/>
    <w:rsid w:val="002A26A5"/>
    <w:rsid w:val="002A56C3"/>
    <w:rsid w:val="002A71FA"/>
    <w:rsid w:val="002B052C"/>
    <w:rsid w:val="002B2B13"/>
    <w:rsid w:val="002B2ED2"/>
    <w:rsid w:val="002B3BBC"/>
    <w:rsid w:val="002B45E9"/>
    <w:rsid w:val="002B4AC0"/>
    <w:rsid w:val="002B4F5F"/>
    <w:rsid w:val="002B56F0"/>
    <w:rsid w:val="002B61FC"/>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F09"/>
    <w:rsid w:val="002D4FBF"/>
    <w:rsid w:val="002D53B9"/>
    <w:rsid w:val="002D5B6B"/>
    <w:rsid w:val="002D5D13"/>
    <w:rsid w:val="002D7C21"/>
    <w:rsid w:val="002D7EED"/>
    <w:rsid w:val="002E1A3F"/>
    <w:rsid w:val="002E1D59"/>
    <w:rsid w:val="002E2AE9"/>
    <w:rsid w:val="002E3192"/>
    <w:rsid w:val="002E391C"/>
    <w:rsid w:val="002E535D"/>
    <w:rsid w:val="002E6515"/>
    <w:rsid w:val="002E6845"/>
    <w:rsid w:val="002E7897"/>
    <w:rsid w:val="002E79D5"/>
    <w:rsid w:val="002F043F"/>
    <w:rsid w:val="002F0E91"/>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5BD"/>
    <w:rsid w:val="0030556E"/>
    <w:rsid w:val="00310DA6"/>
    <w:rsid w:val="00311F31"/>
    <w:rsid w:val="00312DC5"/>
    <w:rsid w:val="00313CCB"/>
    <w:rsid w:val="00314A61"/>
    <w:rsid w:val="00315A24"/>
    <w:rsid w:val="0031645E"/>
    <w:rsid w:val="00316AE6"/>
    <w:rsid w:val="00317447"/>
    <w:rsid w:val="0032154C"/>
    <w:rsid w:val="003215F3"/>
    <w:rsid w:val="0032174E"/>
    <w:rsid w:val="0032180A"/>
    <w:rsid w:val="0032239E"/>
    <w:rsid w:val="00322449"/>
    <w:rsid w:val="003233E3"/>
    <w:rsid w:val="0032364A"/>
    <w:rsid w:val="00324270"/>
    <w:rsid w:val="00324676"/>
    <w:rsid w:val="00325ABE"/>
    <w:rsid w:val="00327054"/>
    <w:rsid w:val="00327397"/>
    <w:rsid w:val="00327D51"/>
    <w:rsid w:val="00330989"/>
    <w:rsid w:val="00334DDF"/>
    <w:rsid w:val="003351AA"/>
    <w:rsid w:val="003354DA"/>
    <w:rsid w:val="00336EB2"/>
    <w:rsid w:val="0033779B"/>
    <w:rsid w:val="0034094D"/>
    <w:rsid w:val="00340966"/>
    <w:rsid w:val="00341254"/>
    <w:rsid w:val="003417AB"/>
    <w:rsid w:val="00342370"/>
    <w:rsid w:val="00342FD6"/>
    <w:rsid w:val="00343260"/>
    <w:rsid w:val="00343D6F"/>
    <w:rsid w:val="00343D9A"/>
    <w:rsid w:val="00343E9E"/>
    <w:rsid w:val="00344103"/>
    <w:rsid w:val="00344C09"/>
    <w:rsid w:val="00347610"/>
    <w:rsid w:val="00347702"/>
    <w:rsid w:val="003506C8"/>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A2C"/>
    <w:rsid w:val="00365313"/>
    <w:rsid w:val="00365400"/>
    <w:rsid w:val="003654CD"/>
    <w:rsid w:val="00365C86"/>
    <w:rsid w:val="00366EA8"/>
    <w:rsid w:val="003671B9"/>
    <w:rsid w:val="0037124B"/>
    <w:rsid w:val="00371397"/>
    <w:rsid w:val="00371A50"/>
    <w:rsid w:val="0037282C"/>
    <w:rsid w:val="00372AF5"/>
    <w:rsid w:val="00373E37"/>
    <w:rsid w:val="00374B13"/>
    <w:rsid w:val="00375195"/>
    <w:rsid w:val="003757D8"/>
    <w:rsid w:val="00377B5C"/>
    <w:rsid w:val="00377E57"/>
    <w:rsid w:val="003824D8"/>
    <w:rsid w:val="00382C31"/>
    <w:rsid w:val="00382D5C"/>
    <w:rsid w:val="00383326"/>
    <w:rsid w:val="00384D05"/>
    <w:rsid w:val="00384EB8"/>
    <w:rsid w:val="00385571"/>
    <w:rsid w:val="00386494"/>
    <w:rsid w:val="00387428"/>
    <w:rsid w:val="00387588"/>
    <w:rsid w:val="00387C8F"/>
    <w:rsid w:val="00390B93"/>
    <w:rsid w:val="00390D33"/>
    <w:rsid w:val="0039159F"/>
    <w:rsid w:val="00391BC9"/>
    <w:rsid w:val="00391D85"/>
    <w:rsid w:val="0039208C"/>
    <w:rsid w:val="003921E8"/>
    <w:rsid w:val="00395F1F"/>
    <w:rsid w:val="00396B3C"/>
    <w:rsid w:val="003976EE"/>
    <w:rsid w:val="00397D87"/>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4810"/>
    <w:rsid w:val="003B5A2E"/>
    <w:rsid w:val="003B5C51"/>
    <w:rsid w:val="003C0A02"/>
    <w:rsid w:val="003C15AC"/>
    <w:rsid w:val="003C1B17"/>
    <w:rsid w:val="003C1DA4"/>
    <w:rsid w:val="003C1EAF"/>
    <w:rsid w:val="003C23F8"/>
    <w:rsid w:val="003C26EF"/>
    <w:rsid w:val="003C279F"/>
    <w:rsid w:val="003C4073"/>
    <w:rsid w:val="003C40F3"/>
    <w:rsid w:val="003C5147"/>
    <w:rsid w:val="003C5324"/>
    <w:rsid w:val="003C5801"/>
    <w:rsid w:val="003C6F2D"/>
    <w:rsid w:val="003C727F"/>
    <w:rsid w:val="003D0503"/>
    <w:rsid w:val="003D19F1"/>
    <w:rsid w:val="003D2CC1"/>
    <w:rsid w:val="003D5229"/>
    <w:rsid w:val="003D78AB"/>
    <w:rsid w:val="003E1682"/>
    <w:rsid w:val="003E1A6E"/>
    <w:rsid w:val="003E1E0A"/>
    <w:rsid w:val="003E1FA0"/>
    <w:rsid w:val="003E2AA4"/>
    <w:rsid w:val="003E37EE"/>
    <w:rsid w:val="003E3E67"/>
    <w:rsid w:val="003E45EA"/>
    <w:rsid w:val="003E5CBD"/>
    <w:rsid w:val="003E66A5"/>
    <w:rsid w:val="003E7BC7"/>
    <w:rsid w:val="003F0516"/>
    <w:rsid w:val="003F48A6"/>
    <w:rsid w:val="003F4C03"/>
    <w:rsid w:val="003F5122"/>
    <w:rsid w:val="003F6017"/>
    <w:rsid w:val="003F65C3"/>
    <w:rsid w:val="003F6F54"/>
    <w:rsid w:val="003F7106"/>
    <w:rsid w:val="003F73CE"/>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6119"/>
    <w:rsid w:val="0044661F"/>
    <w:rsid w:val="0044689A"/>
    <w:rsid w:val="00451632"/>
    <w:rsid w:val="0045168D"/>
    <w:rsid w:val="00453990"/>
    <w:rsid w:val="00455665"/>
    <w:rsid w:val="004569FB"/>
    <w:rsid w:val="00456B36"/>
    <w:rsid w:val="00457450"/>
    <w:rsid w:val="00457684"/>
    <w:rsid w:val="00457A4B"/>
    <w:rsid w:val="00457E31"/>
    <w:rsid w:val="00460F76"/>
    <w:rsid w:val="0046215F"/>
    <w:rsid w:val="00462D34"/>
    <w:rsid w:val="004638A4"/>
    <w:rsid w:val="004640D3"/>
    <w:rsid w:val="00464732"/>
    <w:rsid w:val="00465805"/>
    <w:rsid w:val="00466DD5"/>
    <w:rsid w:val="0046724E"/>
    <w:rsid w:val="00467F44"/>
    <w:rsid w:val="00470576"/>
    <w:rsid w:val="0047424F"/>
    <w:rsid w:val="00474E5B"/>
    <w:rsid w:val="004755DB"/>
    <w:rsid w:val="00476A74"/>
    <w:rsid w:val="00476B80"/>
    <w:rsid w:val="00476E00"/>
    <w:rsid w:val="00480CA9"/>
    <w:rsid w:val="00481A71"/>
    <w:rsid w:val="00481C63"/>
    <w:rsid w:val="00482044"/>
    <w:rsid w:val="00482A79"/>
    <w:rsid w:val="00483077"/>
    <w:rsid w:val="00484BBB"/>
    <w:rsid w:val="00485257"/>
    <w:rsid w:val="0048590B"/>
    <w:rsid w:val="00486C5D"/>
    <w:rsid w:val="00486CF9"/>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7BB6"/>
    <w:rsid w:val="004C033E"/>
    <w:rsid w:val="004C1112"/>
    <w:rsid w:val="004C3B67"/>
    <w:rsid w:val="004C3C46"/>
    <w:rsid w:val="004C3E27"/>
    <w:rsid w:val="004C42EC"/>
    <w:rsid w:val="004C4389"/>
    <w:rsid w:val="004C5407"/>
    <w:rsid w:val="004C547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3C80"/>
    <w:rsid w:val="004E55EC"/>
    <w:rsid w:val="004E5EE3"/>
    <w:rsid w:val="004E6F25"/>
    <w:rsid w:val="004F2054"/>
    <w:rsid w:val="004F220F"/>
    <w:rsid w:val="004F550F"/>
    <w:rsid w:val="004F55FF"/>
    <w:rsid w:val="004F5AB5"/>
    <w:rsid w:val="004F635E"/>
    <w:rsid w:val="004F6E39"/>
    <w:rsid w:val="004F7659"/>
    <w:rsid w:val="005016B1"/>
    <w:rsid w:val="00502D7A"/>
    <w:rsid w:val="00502DA1"/>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20BA"/>
    <w:rsid w:val="00522105"/>
    <w:rsid w:val="0052476C"/>
    <w:rsid w:val="005247E5"/>
    <w:rsid w:val="00524F93"/>
    <w:rsid w:val="00525709"/>
    <w:rsid w:val="005260FF"/>
    <w:rsid w:val="00526311"/>
    <w:rsid w:val="0052688B"/>
    <w:rsid w:val="00526D92"/>
    <w:rsid w:val="0053028C"/>
    <w:rsid w:val="00531B6C"/>
    <w:rsid w:val="00531BEC"/>
    <w:rsid w:val="00531C8B"/>
    <w:rsid w:val="00531DCA"/>
    <w:rsid w:val="00531DDE"/>
    <w:rsid w:val="00531E33"/>
    <w:rsid w:val="00532727"/>
    <w:rsid w:val="00533128"/>
    <w:rsid w:val="00533474"/>
    <w:rsid w:val="00534091"/>
    <w:rsid w:val="00535767"/>
    <w:rsid w:val="00535FD4"/>
    <w:rsid w:val="0053717F"/>
    <w:rsid w:val="0054112A"/>
    <w:rsid w:val="00541B53"/>
    <w:rsid w:val="00544647"/>
    <w:rsid w:val="00546F37"/>
    <w:rsid w:val="00547547"/>
    <w:rsid w:val="0054797D"/>
    <w:rsid w:val="005507BD"/>
    <w:rsid w:val="00551607"/>
    <w:rsid w:val="005539C2"/>
    <w:rsid w:val="00553B02"/>
    <w:rsid w:val="00554A8E"/>
    <w:rsid w:val="0055685E"/>
    <w:rsid w:val="00556DF4"/>
    <w:rsid w:val="00557108"/>
    <w:rsid w:val="005575C7"/>
    <w:rsid w:val="005576E2"/>
    <w:rsid w:val="005605BD"/>
    <w:rsid w:val="0056120E"/>
    <w:rsid w:val="00561D42"/>
    <w:rsid w:val="00562B59"/>
    <w:rsid w:val="0056303E"/>
    <w:rsid w:val="005640AF"/>
    <w:rsid w:val="005647E0"/>
    <w:rsid w:val="00566739"/>
    <w:rsid w:val="0056697E"/>
    <w:rsid w:val="00566A53"/>
    <w:rsid w:val="0056717A"/>
    <w:rsid w:val="005672D8"/>
    <w:rsid w:val="0057013D"/>
    <w:rsid w:val="00570259"/>
    <w:rsid w:val="0057102E"/>
    <w:rsid w:val="00572231"/>
    <w:rsid w:val="0057277D"/>
    <w:rsid w:val="00573652"/>
    <w:rsid w:val="00573661"/>
    <w:rsid w:val="005737CD"/>
    <w:rsid w:val="005738C3"/>
    <w:rsid w:val="00574A05"/>
    <w:rsid w:val="00574F6A"/>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647"/>
    <w:rsid w:val="005A415E"/>
    <w:rsid w:val="005A428D"/>
    <w:rsid w:val="005A463B"/>
    <w:rsid w:val="005A4ABD"/>
    <w:rsid w:val="005A4CB4"/>
    <w:rsid w:val="005A5F3D"/>
    <w:rsid w:val="005A7426"/>
    <w:rsid w:val="005A7F4E"/>
    <w:rsid w:val="005B03C8"/>
    <w:rsid w:val="005B0D06"/>
    <w:rsid w:val="005B0EA0"/>
    <w:rsid w:val="005B10EE"/>
    <w:rsid w:val="005B21DD"/>
    <w:rsid w:val="005B4281"/>
    <w:rsid w:val="005B45E9"/>
    <w:rsid w:val="005B5116"/>
    <w:rsid w:val="005B5798"/>
    <w:rsid w:val="005B5EF1"/>
    <w:rsid w:val="005B6584"/>
    <w:rsid w:val="005B7424"/>
    <w:rsid w:val="005B759C"/>
    <w:rsid w:val="005C0E2A"/>
    <w:rsid w:val="005C0E5C"/>
    <w:rsid w:val="005C178D"/>
    <w:rsid w:val="005C1AED"/>
    <w:rsid w:val="005C2609"/>
    <w:rsid w:val="005C2B9A"/>
    <w:rsid w:val="005C4645"/>
    <w:rsid w:val="005C5CC9"/>
    <w:rsid w:val="005C5CE5"/>
    <w:rsid w:val="005C6797"/>
    <w:rsid w:val="005C691D"/>
    <w:rsid w:val="005D2435"/>
    <w:rsid w:val="005D2FDE"/>
    <w:rsid w:val="005D30D3"/>
    <w:rsid w:val="005D3711"/>
    <w:rsid w:val="005D39A1"/>
    <w:rsid w:val="005D39F6"/>
    <w:rsid w:val="005D4428"/>
    <w:rsid w:val="005D57B1"/>
    <w:rsid w:val="005D6DB2"/>
    <w:rsid w:val="005D6E32"/>
    <w:rsid w:val="005D779E"/>
    <w:rsid w:val="005D7E5A"/>
    <w:rsid w:val="005E0607"/>
    <w:rsid w:val="005E1E51"/>
    <w:rsid w:val="005E2C87"/>
    <w:rsid w:val="005E2FB8"/>
    <w:rsid w:val="005E4197"/>
    <w:rsid w:val="005E4C49"/>
    <w:rsid w:val="005E629C"/>
    <w:rsid w:val="005E6B6B"/>
    <w:rsid w:val="005E7342"/>
    <w:rsid w:val="005E768C"/>
    <w:rsid w:val="005E7D1C"/>
    <w:rsid w:val="005F118A"/>
    <w:rsid w:val="005F1AE1"/>
    <w:rsid w:val="005F1D32"/>
    <w:rsid w:val="005F1E09"/>
    <w:rsid w:val="005F21FA"/>
    <w:rsid w:val="005F2B90"/>
    <w:rsid w:val="005F32AC"/>
    <w:rsid w:val="005F339C"/>
    <w:rsid w:val="005F55AE"/>
    <w:rsid w:val="005F56CF"/>
    <w:rsid w:val="005F6778"/>
    <w:rsid w:val="005F6840"/>
    <w:rsid w:val="005F77DD"/>
    <w:rsid w:val="00600E34"/>
    <w:rsid w:val="00600EF9"/>
    <w:rsid w:val="00601243"/>
    <w:rsid w:val="00601375"/>
    <w:rsid w:val="00601B35"/>
    <w:rsid w:val="00602CCD"/>
    <w:rsid w:val="00603004"/>
    <w:rsid w:val="006034A7"/>
    <w:rsid w:val="00604496"/>
    <w:rsid w:val="00604820"/>
    <w:rsid w:val="006058FC"/>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8C"/>
    <w:rsid w:val="006218F3"/>
    <w:rsid w:val="0062338B"/>
    <w:rsid w:val="006237DD"/>
    <w:rsid w:val="00623C17"/>
    <w:rsid w:val="00625EFD"/>
    <w:rsid w:val="00626974"/>
    <w:rsid w:val="00627621"/>
    <w:rsid w:val="006277A4"/>
    <w:rsid w:val="00627B3E"/>
    <w:rsid w:val="00627CB9"/>
    <w:rsid w:val="00630DED"/>
    <w:rsid w:val="006312C1"/>
    <w:rsid w:val="00631496"/>
    <w:rsid w:val="006314AA"/>
    <w:rsid w:val="00631543"/>
    <w:rsid w:val="006318E1"/>
    <w:rsid w:val="0063302F"/>
    <w:rsid w:val="0063333D"/>
    <w:rsid w:val="00634FDD"/>
    <w:rsid w:val="00636682"/>
    <w:rsid w:val="00636FBD"/>
    <w:rsid w:val="006378CB"/>
    <w:rsid w:val="00640499"/>
    <w:rsid w:val="006412E9"/>
    <w:rsid w:val="00641E19"/>
    <w:rsid w:val="00642822"/>
    <w:rsid w:val="00642BAE"/>
    <w:rsid w:val="0064459E"/>
    <w:rsid w:val="0064526C"/>
    <w:rsid w:val="00650252"/>
    <w:rsid w:val="006504F7"/>
    <w:rsid w:val="00651220"/>
    <w:rsid w:val="006515F3"/>
    <w:rsid w:val="00653261"/>
    <w:rsid w:val="006536A9"/>
    <w:rsid w:val="00656179"/>
    <w:rsid w:val="006569A3"/>
    <w:rsid w:val="00656A73"/>
    <w:rsid w:val="006601A3"/>
    <w:rsid w:val="006604D3"/>
    <w:rsid w:val="00662B0C"/>
    <w:rsid w:val="006636F3"/>
    <w:rsid w:val="006642EF"/>
    <w:rsid w:val="00664D4C"/>
    <w:rsid w:val="00665AF3"/>
    <w:rsid w:val="00666C57"/>
    <w:rsid w:val="00667C14"/>
    <w:rsid w:val="00670038"/>
    <w:rsid w:val="00670AB6"/>
    <w:rsid w:val="00670F31"/>
    <w:rsid w:val="00671CB3"/>
    <w:rsid w:val="006729B3"/>
    <w:rsid w:val="006729DD"/>
    <w:rsid w:val="006742C4"/>
    <w:rsid w:val="00675F94"/>
    <w:rsid w:val="0067635E"/>
    <w:rsid w:val="00677BFA"/>
    <w:rsid w:val="00680B35"/>
    <w:rsid w:val="00680B48"/>
    <w:rsid w:val="00680BB2"/>
    <w:rsid w:val="006820B4"/>
    <w:rsid w:val="006828F2"/>
    <w:rsid w:val="00682F59"/>
    <w:rsid w:val="0068461E"/>
    <w:rsid w:val="00686531"/>
    <w:rsid w:val="00686D84"/>
    <w:rsid w:val="00687048"/>
    <w:rsid w:val="00687F60"/>
    <w:rsid w:val="0069334F"/>
    <w:rsid w:val="006956CE"/>
    <w:rsid w:val="00696362"/>
    <w:rsid w:val="0069795D"/>
    <w:rsid w:val="00697DD5"/>
    <w:rsid w:val="006A01FF"/>
    <w:rsid w:val="006A288D"/>
    <w:rsid w:val="006A364A"/>
    <w:rsid w:val="006A38F3"/>
    <w:rsid w:val="006A3FD2"/>
    <w:rsid w:val="006A4952"/>
    <w:rsid w:val="006A4BC4"/>
    <w:rsid w:val="006A4D9D"/>
    <w:rsid w:val="006A56BE"/>
    <w:rsid w:val="006A612D"/>
    <w:rsid w:val="006A6268"/>
    <w:rsid w:val="006A726B"/>
    <w:rsid w:val="006B03BA"/>
    <w:rsid w:val="006B0EF6"/>
    <w:rsid w:val="006B16FF"/>
    <w:rsid w:val="006B19AD"/>
    <w:rsid w:val="006B1E0C"/>
    <w:rsid w:val="006B2202"/>
    <w:rsid w:val="006B2EC3"/>
    <w:rsid w:val="006B3746"/>
    <w:rsid w:val="006B3822"/>
    <w:rsid w:val="006B39A2"/>
    <w:rsid w:val="006B4F76"/>
    <w:rsid w:val="006B58E3"/>
    <w:rsid w:val="006B60E2"/>
    <w:rsid w:val="006B7FBA"/>
    <w:rsid w:val="006C0630"/>
    <w:rsid w:val="006C0F3A"/>
    <w:rsid w:val="006C1C98"/>
    <w:rsid w:val="006C3294"/>
    <w:rsid w:val="006C3659"/>
    <w:rsid w:val="006C3814"/>
    <w:rsid w:val="006C3BAF"/>
    <w:rsid w:val="006C3C9E"/>
    <w:rsid w:val="006C3FB2"/>
    <w:rsid w:val="006C4055"/>
    <w:rsid w:val="006C4303"/>
    <w:rsid w:val="006C4674"/>
    <w:rsid w:val="006C516A"/>
    <w:rsid w:val="006C5F1B"/>
    <w:rsid w:val="006C62A6"/>
    <w:rsid w:val="006C68B8"/>
    <w:rsid w:val="006C6CFC"/>
    <w:rsid w:val="006C77B4"/>
    <w:rsid w:val="006C7AED"/>
    <w:rsid w:val="006C7B29"/>
    <w:rsid w:val="006D02E1"/>
    <w:rsid w:val="006D0434"/>
    <w:rsid w:val="006D0AB9"/>
    <w:rsid w:val="006D1011"/>
    <w:rsid w:val="006D25C6"/>
    <w:rsid w:val="006D26E0"/>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CB"/>
    <w:rsid w:val="006E299C"/>
    <w:rsid w:val="006E3B23"/>
    <w:rsid w:val="006E45D9"/>
    <w:rsid w:val="006E54F1"/>
    <w:rsid w:val="006E5D1F"/>
    <w:rsid w:val="006E6B30"/>
    <w:rsid w:val="006E716F"/>
    <w:rsid w:val="006E7745"/>
    <w:rsid w:val="006F08FE"/>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DC0"/>
    <w:rsid w:val="00706124"/>
    <w:rsid w:val="0070722D"/>
    <w:rsid w:val="007077FC"/>
    <w:rsid w:val="00710080"/>
    <w:rsid w:val="00711DF0"/>
    <w:rsid w:val="00711F59"/>
    <w:rsid w:val="007128CD"/>
    <w:rsid w:val="00712A94"/>
    <w:rsid w:val="00712EFE"/>
    <w:rsid w:val="00712F6A"/>
    <w:rsid w:val="007145A7"/>
    <w:rsid w:val="00714CEB"/>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3E8C"/>
    <w:rsid w:val="00733FAC"/>
    <w:rsid w:val="007343AC"/>
    <w:rsid w:val="0073462F"/>
    <w:rsid w:val="007346C1"/>
    <w:rsid w:val="0073596C"/>
    <w:rsid w:val="00735BDB"/>
    <w:rsid w:val="00736488"/>
    <w:rsid w:val="007367EC"/>
    <w:rsid w:val="007404BA"/>
    <w:rsid w:val="0074091A"/>
    <w:rsid w:val="00740F4A"/>
    <w:rsid w:val="00741B8E"/>
    <w:rsid w:val="00742B86"/>
    <w:rsid w:val="00743F9B"/>
    <w:rsid w:val="0074456C"/>
    <w:rsid w:val="00744CDD"/>
    <w:rsid w:val="00744D85"/>
    <w:rsid w:val="00745215"/>
    <w:rsid w:val="00745A91"/>
    <w:rsid w:val="00747B97"/>
    <w:rsid w:val="00747D82"/>
    <w:rsid w:val="00750526"/>
    <w:rsid w:val="007508B3"/>
    <w:rsid w:val="00750A5B"/>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938"/>
    <w:rsid w:val="00764C50"/>
    <w:rsid w:val="00765ED5"/>
    <w:rsid w:val="007660ED"/>
    <w:rsid w:val="0076645B"/>
    <w:rsid w:val="00766786"/>
    <w:rsid w:val="00767F50"/>
    <w:rsid w:val="0077020B"/>
    <w:rsid w:val="00770631"/>
    <w:rsid w:val="00770BDF"/>
    <w:rsid w:val="007725A2"/>
    <w:rsid w:val="00772A61"/>
    <w:rsid w:val="00773F25"/>
    <w:rsid w:val="0077453D"/>
    <w:rsid w:val="0077455D"/>
    <w:rsid w:val="0077476E"/>
    <w:rsid w:val="007767E7"/>
    <w:rsid w:val="0077696A"/>
    <w:rsid w:val="00776C10"/>
    <w:rsid w:val="00776FBE"/>
    <w:rsid w:val="0077711B"/>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2EC6"/>
    <w:rsid w:val="00793973"/>
    <w:rsid w:val="00793C93"/>
    <w:rsid w:val="00793EA7"/>
    <w:rsid w:val="007942EB"/>
    <w:rsid w:val="00794EBE"/>
    <w:rsid w:val="007956FD"/>
    <w:rsid w:val="007959FF"/>
    <w:rsid w:val="00795F40"/>
    <w:rsid w:val="007966CF"/>
    <w:rsid w:val="007A079D"/>
    <w:rsid w:val="007A2096"/>
    <w:rsid w:val="007A209E"/>
    <w:rsid w:val="007A32DD"/>
    <w:rsid w:val="007A34AE"/>
    <w:rsid w:val="007A42A7"/>
    <w:rsid w:val="007A430C"/>
    <w:rsid w:val="007A5EA0"/>
    <w:rsid w:val="007A646F"/>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54D4"/>
    <w:rsid w:val="007C5668"/>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21F4"/>
    <w:rsid w:val="007E25F5"/>
    <w:rsid w:val="007E3161"/>
    <w:rsid w:val="007E3EFA"/>
    <w:rsid w:val="007E4696"/>
    <w:rsid w:val="007E46C0"/>
    <w:rsid w:val="007E548D"/>
    <w:rsid w:val="007E5C21"/>
    <w:rsid w:val="007E6BE7"/>
    <w:rsid w:val="007E753C"/>
    <w:rsid w:val="007F084A"/>
    <w:rsid w:val="007F0FC4"/>
    <w:rsid w:val="007F1108"/>
    <w:rsid w:val="007F179F"/>
    <w:rsid w:val="007F1B29"/>
    <w:rsid w:val="007F2F07"/>
    <w:rsid w:val="007F4AD0"/>
    <w:rsid w:val="0080299F"/>
    <w:rsid w:val="00802B2D"/>
    <w:rsid w:val="00802B47"/>
    <w:rsid w:val="00802DB6"/>
    <w:rsid w:val="00802E86"/>
    <w:rsid w:val="008031A9"/>
    <w:rsid w:val="00803508"/>
    <w:rsid w:val="00803BDF"/>
    <w:rsid w:val="00804AE4"/>
    <w:rsid w:val="00806607"/>
    <w:rsid w:val="00806AB2"/>
    <w:rsid w:val="00807CEB"/>
    <w:rsid w:val="00807EF6"/>
    <w:rsid w:val="008116BB"/>
    <w:rsid w:val="00811AB7"/>
    <w:rsid w:val="00811CBE"/>
    <w:rsid w:val="0081288E"/>
    <w:rsid w:val="00812E92"/>
    <w:rsid w:val="008134E9"/>
    <w:rsid w:val="00813EA1"/>
    <w:rsid w:val="008146B7"/>
    <w:rsid w:val="008150EC"/>
    <w:rsid w:val="00816933"/>
    <w:rsid w:val="00816F91"/>
    <w:rsid w:val="00816FD5"/>
    <w:rsid w:val="008214C4"/>
    <w:rsid w:val="00821A46"/>
    <w:rsid w:val="008229BA"/>
    <w:rsid w:val="00822C82"/>
    <w:rsid w:val="0082609E"/>
    <w:rsid w:val="008261BB"/>
    <w:rsid w:val="008267DB"/>
    <w:rsid w:val="008275F0"/>
    <w:rsid w:val="008276D8"/>
    <w:rsid w:val="00830BE7"/>
    <w:rsid w:val="00830C8C"/>
    <w:rsid w:val="00830CEA"/>
    <w:rsid w:val="00831CD8"/>
    <w:rsid w:val="00831E48"/>
    <w:rsid w:val="008321BA"/>
    <w:rsid w:val="00832855"/>
    <w:rsid w:val="00832C3A"/>
    <w:rsid w:val="00832C40"/>
    <w:rsid w:val="00833246"/>
    <w:rsid w:val="00833264"/>
    <w:rsid w:val="0083374B"/>
    <w:rsid w:val="008348B4"/>
    <w:rsid w:val="0083537A"/>
    <w:rsid w:val="008357D6"/>
    <w:rsid w:val="008361F3"/>
    <w:rsid w:val="008363BA"/>
    <w:rsid w:val="0083662A"/>
    <w:rsid w:val="00836818"/>
    <w:rsid w:val="008405E7"/>
    <w:rsid w:val="00841264"/>
    <w:rsid w:val="008419F1"/>
    <w:rsid w:val="00841E43"/>
    <w:rsid w:val="00843E57"/>
    <w:rsid w:val="00844677"/>
    <w:rsid w:val="00844ACA"/>
    <w:rsid w:val="008458A1"/>
    <w:rsid w:val="00846711"/>
    <w:rsid w:val="00846741"/>
    <w:rsid w:val="00847A22"/>
    <w:rsid w:val="00850E8E"/>
    <w:rsid w:val="00850EBA"/>
    <w:rsid w:val="00851149"/>
    <w:rsid w:val="00852528"/>
    <w:rsid w:val="008525EF"/>
    <w:rsid w:val="00853188"/>
    <w:rsid w:val="00854173"/>
    <w:rsid w:val="00854E2E"/>
    <w:rsid w:val="00854F20"/>
    <w:rsid w:val="008554EA"/>
    <w:rsid w:val="008555F0"/>
    <w:rsid w:val="008577EF"/>
    <w:rsid w:val="00857B6B"/>
    <w:rsid w:val="00860682"/>
    <w:rsid w:val="008614EE"/>
    <w:rsid w:val="0086169A"/>
    <w:rsid w:val="00861BFA"/>
    <w:rsid w:val="00862190"/>
    <w:rsid w:val="00863455"/>
    <w:rsid w:val="00863C4E"/>
    <w:rsid w:val="00863CFE"/>
    <w:rsid w:val="0086440D"/>
    <w:rsid w:val="0086489D"/>
    <w:rsid w:val="0086592D"/>
    <w:rsid w:val="00867438"/>
    <w:rsid w:val="00867FD2"/>
    <w:rsid w:val="008701C6"/>
    <w:rsid w:val="00870A92"/>
    <w:rsid w:val="0087118C"/>
    <w:rsid w:val="00871B21"/>
    <w:rsid w:val="00871E3D"/>
    <w:rsid w:val="0087289C"/>
    <w:rsid w:val="0087348B"/>
    <w:rsid w:val="00873C17"/>
    <w:rsid w:val="008742EB"/>
    <w:rsid w:val="008743EC"/>
    <w:rsid w:val="00876A66"/>
    <w:rsid w:val="00877A32"/>
    <w:rsid w:val="008800CA"/>
    <w:rsid w:val="00880118"/>
    <w:rsid w:val="0088021D"/>
    <w:rsid w:val="008811F8"/>
    <w:rsid w:val="00881DFD"/>
    <w:rsid w:val="00881EA1"/>
    <w:rsid w:val="008822B6"/>
    <w:rsid w:val="008823CF"/>
    <w:rsid w:val="00883394"/>
    <w:rsid w:val="00883BA0"/>
    <w:rsid w:val="00884B7B"/>
    <w:rsid w:val="008855EF"/>
    <w:rsid w:val="00885792"/>
    <w:rsid w:val="00886421"/>
    <w:rsid w:val="0088696A"/>
    <w:rsid w:val="00886A44"/>
    <w:rsid w:val="00890451"/>
    <w:rsid w:val="0089173A"/>
    <w:rsid w:val="00892627"/>
    <w:rsid w:val="00892EB2"/>
    <w:rsid w:val="0089317F"/>
    <w:rsid w:val="00894706"/>
    <w:rsid w:val="00894F9E"/>
    <w:rsid w:val="00896581"/>
    <w:rsid w:val="0089672B"/>
    <w:rsid w:val="008970F9"/>
    <w:rsid w:val="0089710F"/>
    <w:rsid w:val="008977E8"/>
    <w:rsid w:val="00897D61"/>
    <w:rsid w:val="00897EBA"/>
    <w:rsid w:val="00897EFF"/>
    <w:rsid w:val="008A0FAC"/>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918"/>
    <w:rsid w:val="008B010A"/>
    <w:rsid w:val="008B0833"/>
    <w:rsid w:val="008B1F03"/>
    <w:rsid w:val="008B2268"/>
    <w:rsid w:val="008B297D"/>
    <w:rsid w:val="008B3BAE"/>
    <w:rsid w:val="008B5AED"/>
    <w:rsid w:val="008B6D1A"/>
    <w:rsid w:val="008B7BB4"/>
    <w:rsid w:val="008C171B"/>
    <w:rsid w:val="008C1D78"/>
    <w:rsid w:val="008C2608"/>
    <w:rsid w:val="008C27BB"/>
    <w:rsid w:val="008C3AF3"/>
    <w:rsid w:val="008C3EF9"/>
    <w:rsid w:val="008C461D"/>
    <w:rsid w:val="008C4F24"/>
    <w:rsid w:val="008C55C2"/>
    <w:rsid w:val="008C5C18"/>
    <w:rsid w:val="008C61CB"/>
    <w:rsid w:val="008C6C61"/>
    <w:rsid w:val="008D0519"/>
    <w:rsid w:val="008D1240"/>
    <w:rsid w:val="008D18BF"/>
    <w:rsid w:val="008D1B7C"/>
    <w:rsid w:val="008D2CF4"/>
    <w:rsid w:val="008D4068"/>
    <w:rsid w:val="008D4DC6"/>
    <w:rsid w:val="008D61E3"/>
    <w:rsid w:val="008D627F"/>
    <w:rsid w:val="008D6715"/>
    <w:rsid w:val="008D7782"/>
    <w:rsid w:val="008D787E"/>
    <w:rsid w:val="008D78CF"/>
    <w:rsid w:val="008D7E12"/>
    <w:rsid w:val="008D7FEB"/>
    <w:rsid w:val="008E0127"/>
    <w:rsid w:val="008E0572"/>
    <w:rsid w:val="008E2EF3"/>
    <w:rsid w:val="008E3208"/>
    <w:rsid w:val="008E3CF5"/>
    <w:rsid w:val="008E4221"/>
    <w:rsid w:val="008E4335"/>
    <w:rsid w:val="008E5840"/>
    <w:rsid w:val="008E5D1F"/>
    <w:rsid w:val="008E6863"/>
    <w:rsid w:val="008E757D"/>
    <w:rsid w:val="008E7965"/>
    <w:rsid w:val="008F12F3"/>
    <w:rsid w:val="008F23A8"/>
    <w:rsid w:val="008F3798"/>
    <w:rsid w:val="008F41D2"/>
    <w:rsid w:val="008F5026"/>
    <w:rsid w:val="008F5409"/>
    <w:rsid w:val="008F5FF7"/>
    <w:rsid w:val="008F66A2"/>
    <w:rsid w:val="008F6EE3"/>
    <w:rsid w:val="008F7018"/>
    <w:rsid w:val="00900EB4"/>
    <w:rsid w:val="00901C40"/>
    <w:rsid w:val="009034BF"/>
    <w:rsid w:val="00904016"/>
    <w:rsid w:val="00904843"/>
    <w:rsid w:val="0090557C"/>
    <w:rsid w:val="009057E2"/>
    <w:rsid w:val="0090611C"/>
    <w:rsid w:val="00907005"/>
    <w:rsid w:val="00907370"/>
    <w:rsid w:val="009073D2"/>
    <w:rsid w:val="0091099F"/>
    <w:rsid w:val="00910A84"/>
    <w:rsid w:val="00910A98"/>
    <w:rsid w:val="009112D8"/>
    <w:rsid w:val="00912096"/>
    <w:rsid w:val="00913545"/>
    <w:rsid w:val="00913FDF"/>
    <w:rsid w:val="0091516C"/>
    <w:rsid w:val="00915675"/>
    <w:rsid w:val="00915786"/>
    <w:rsid w:val="00915D90"/>
    <w:rsid w:val="00916971"/>
    <w:rsid w:val="00916D52"/>
    <w:rsid w:val="0092022A"/>
    <w:rsid w:val="0092067A"/>
    <w:rsid w:val="00921021"/>
    <w:rsid w:val="00922434"/>
    <w:rsid w:val="0092275E"/>
    <w:rsid w:val="00922929"/>
    <w:rsid w:val="00922DE0"/>
    <w:rsid w:val="00923943"/>
    <w:rsid w:val="009240D8"/>
    <w:rsid w:val="00927225"/>
    <w:rsid w:val="009300A6"/>
    <w:rsid w:val="00930841"/>
    <w:rsid w:val="00931211"/>
    <w:rsid w:val="00931D6A"/>
    <w:rsid w:val="0093303F"/>
    <w:rsid w:val="009341D1"/>
    <w:rsid w:val="00934A2F"/>
    <w:rsid w:val="00937E69"/>
    <w:rsid w:val="009401B2"/>
    <w:rsid w:val="00940589"/>
    <w:rsid w:val="00941D9F"/>
    <w:rsid w:val="0094216A"/>
    <w:rsid w:val="009452BE"/>
    <w:rsid w:val="0094539D"/>
    <w:rsid w:val="00947D94"/>
    <w:rsid w:val="0095037E"/>
    <w:rsid w:val="009516D5"/>
    <w:rsid w:val="00951753"/>
    <w:rsid w:val="00951828"/>
    <w:rsid w:val="0095262A"/>
    <w:rsid w:val="00953E75"/>
    <w:rsid w:val="00954F14"/>
    <w:rsid w:val="00954F5E"/>
    <w:rsid w:val="00955680"/>
    <w:rsid w:val="0095603A"/>
    <w:rsid w:val="009560D8"/>
    <w:rsid w:val="00957EC9"/>
    <w:rsid w:val="00960F40"/>
    <w:rsid w:val="00961429"/>
    <w:rsid w:val="00962744"/>
    <w:rsid w:val="00962AD5"/>
    <w:rsid w:val="009631ED"/>
    <w:rsid w:val="00963C05"/>
    <w:rsid w:val="00964425"/>
    <w:rsid w:val="0096478F"/>
    <w:rsid w:val="00965252"/>
    <w:rsid w:val="0096556B"/>
    <w:rsid w:val="009657F3"/>
    <w:rsid w:val="0096593D"/>
    <w:rsid w:val="00966124"/>
    <w:rsid w:val="00966CD8"/>
    <w:rsid w:val="009677B1"/>
    <w:rsid w:val="009677BC"/>
    <w:rsid w:val="00967859"/>
    <w:rsid w:val="0096795C"/>
    <w:rsid w:val="009708AD"/>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978"/>
    <w:rsid w:val="009A724B"/>
    <w:rsid w:val="009A749F"/>
    <w:rsid w:val="009A7AE7"/>
    <w:rsid w:val="009B088B"/>
    <w:rsid w:val="009B0C92"/>
    <w:rsid w:val="009B0E17"/>
    <w:rsid w:val="009B1992"/>
    <w:rsid w:val="009B2460"/>
    <w:rsid w:val="009B2BEC"/>
    <w:rsid w:val="009B2F35"/>
    <w:rsid w:val="009B35D2"/>
    <w:rsid w:val="009B38B3"/>
    <w:rsid w:val="009B39B2"/>
    <w:rsid w:val="009B5A59"/>
    <w:rsid w:val="009B624F"/>
    <w:rsid w:val="009B6880"/>
    <w:rsid w:val="009B6E28"/>
    <w:rsid w:val="009B7063"/>
    <w:rsid w:val="009B70AF"/>
    <w:rsid w:val="009C0672"/>
    <w:rsid w:val="009C212E"/>
    <w:rsid w:val="009C2C4E"/>
    <w:rsid w:val="009C3295"/>
    <w:rsid w:val="009C479B"/>
    <w:rsid w:val="009C53B5"/>
    <w:rsid w:val="009C5D87"/>
    <w:rsid w:val="009C6B36"/>
    <w:rsid w:val="009C7D67"/>
    <w:rsid w:val="009C7D80"/>
    <w:rsid w:val="009C7E09"/>
    <w:rsid w:val="009D15E1"/>
    <w:rsid w:val="009D26B6"/>
    <w:rsid w:val="009D289D"/>
    <w:rsid w:val="009D2BC7"/>
    <w:rsid w:val="009D3CEB"/>
    <w:rsid w:val="009D3F35"/>
    <w:rsid w:val="009D49DB"/>
    <w:rsid w:val="009D4C01"/>
    <w:rsid w:val="009D5414"/>
    <w:rsid w:val="009D6197"/>
    <w:rsid w:val="009D66EE"/>
    <w:rsid w:val="009D6734"/>
    <w:rsid w:val="009D7873"/>
    <w:rsid w:val="009E03D1"/>
    <w:rsid w:val="009E083F"/>
    <w:rsid w:val="009E0E2D"/>
    <w:rsid w:val="009E17E6"/>
    <w:rsid w:val="009E18CB"/>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814"/>
    <w:rsid w:val="00A00F13"/>
    <w:rsid w:val="00A01081"/>
    <w:rsid w:val="00A013B5"/>
    <w:rsid w:val="00A02F18"/>
    <w:rsid w:val="00A03A5F"/>
    <w:rsid w:val="00A040F8"/>
    <w:rsid w:val="00A045DC"/>
    <w:rsid w:val="00A051C1"/>
    <w:rsid w:val="00A101AB"/>
    <w:rsid w:val="00A10C69"/>
    <w:rsid w:val="00A128A7"/>
    <w:rsid w:val="00A129D9"/>
    <w:rsid w:val="00A14121"/>
    <w:rsid w:val="00A147BB"/>
    <w:rsid w:val="00A14895"/>
    <w:rsid w:val="00A148AD"/>
    <w:rsid w:val="00A15473"/>
    <w:rsid w:val="00A159E2"/>
    <w:rsid w:val="00A16871"/>
    <w:rsid w:val="00A16C57"/>
    <w:rsid w:val="00A21486"/>
    <w:rsid w:val="00A21943"/>
    <w:rsid w:val="00A21E50"/>
    <w:rsid w:val="00A22047"/>
    <w:rsid w:val="00A222FF"/>
    <w:rsid w:val="00A22C87"/>
    <w:rsid w:val="00A22F18"/>
    <w:rsid w:val="00A23AF0"/>
    <w:rsid w:val="00A2477F"/>
    <w:rsid w:val="00A24C96"/>
    <w:rsid w:val="00A25255"/>
    <w:rsid w:val="00A255C6"/>
    <w:rsid w:val="00A27AD9"/>
    <w:rsid w:val="00A27D42"/>
    <w:rsid w:val="00A3027F"/>
    <w:rsid w:val="00A303B6"/>
    <w:rsid w:val="00A3063D"/>
    <w:rsid w:val="00A30F36"/>
    <w:rsid w:val="00A322BD"/>
    <w:rsid w:val="00A32B24"/>
    <w:rsid w:val="00A32D8C"/>
    <w:rsid w:val="00A3418C"/>
    <w:rsid w:val="00A35110"/>
    <w:rsid w:val="00A352A1"/>
    <w:rsid w:val="00A366D1"/>
    <w:rsid w:val="00A36909"/>
    <w:rsid w:val="00A413AA"/>
    <w:rsid w:val="00A438C6"/>
    <w:rsid w:val="00A439D5"/>
    <w:rsid w:val="00A4419E"/>
    <w:rsid w:val="00A443FF"/>
    <w:rsid w:val="00A447D3"/>
    <w:rsid w:val="00A44BB4"/>
    <w:rsid w:val="00A462A3"/>
    <w:rsid w:val="00A46380"/>
    <w:rsid w:val="00A46E1D"/>
    <w:rsid w:val="00A51B7A"/>
    <w:rsid w:val="00A52972"/>
    <w:rsid w:val="00A53D99"/>
    <w:rsid w:val="00A54119"/>
    <w:rsid w:val="00A5423D"/>
    <w:rsid w:val="00A543A5"/>
    <w:rsid w:val="00A546F0"/>
    <w:rsid w:val="00A54BE4"/>
    <w:rsid w:val="00A55B12"/>
    <w:rsid w:val="00A56034"/>
    <w:rsid w:val="00A607B4"/>
    <w:rsid w:val="00A60A5E"/>
    <w:rsid w:val="00A63761"/>
    <w:rsid w:val="00A649C7"/>
    <w:rsid w:val="00A64C25"/>
    <w:rsid w:val="00A653E3"/>
    <w:rsid w:val="00A65ED5"/>
    <w:rsid w:val="00A665A7"/>
    <w:rsid w:val="00A66651"/>
    <w:rsid w:val="00A66805"/>
    <w:rsid w:val="00A672C2"/>
    <w:rsid w:val="00A70659"/>
    <w:rsid w:val="00A70A09"/>
    <w:rsid w:val="00A70F86"/>
    <w:rsid w:val="00A7179B"/>
    <w:rsid w:val="00A71A5F"/>
    <w:rsid w:val="00A71E6A"/>
    <w:rsid w:val="00A72332"/>
    <w:rsid w:val="00A72850"/>
    <w:rsid w:val="00A7402B"/>
    <w:rsid w:val="00A7452C"/>
    <w:rsid w:val="00A748EC"/>
    <w:rsid w:val="00A74FED"/>
    <w:rsid w:val="00A75682"/>
    <w:rsid w:val="00A769F6"/>
    <w:rsid w:val="00A76F0E"/>
    <w:rsid w:val="00A77143"/>
    <w:rsid w:val="00A7764C"/>
    <w:rsid w:val="00A77B25"/>
    <w:rsid w:val="00A801A4"/>
    <w:rsid w:val="00A81BD3"/>
    <w:rsid w:val="00A81D48"/>
    <w:rsid w:val="00A82292"/>
    <w:rsid w:val="00A83080"/>
    <w:rsid w:val="00A835F3"/>
    <w:rsid w:val="00A845FA"/>
    <w:rsid w:val="00A84979"/>
    <w:rsid w:val="00A84B83"/>
    <w:rsid w:val="00A84E83"/>
    <w:rsid w:val="00A85041"/>
    <w:rsid w:val="00A85212"/>
    <w:rsid w:val="00A85A05"/>
    <w:rsid w:val="00A85EE1"/>
    <w:rsid w:val="00A87065"/>
    <w:rsid w:val="00A87E3A"/>
    <w:rsid w:val="00A9044E"/>
    <w:rsid w:val="00A911F7"/>
    <w:rsid w:val="00A9301F"/>
    <w:rsid w:val="00A933B9"/>
    <w:rsid w:val="00A94C92"/>
    <w:rsid w:val="00A954C5"/>
    <w:rsid w:val="00A95644"/>
    <w:rsid w:val="00A95835"/>
    <w:rsid w:val="00A9603C"/>
    <w:rsid w:val="00A972FA"/>
    <w:rsid w:val="00A97612"/>
    <w:rsid w:val="00A9793C"/>
    <w:rsid w:val="00AA1F22"/>
    <w:rsid w:val="00AA3715"/>
    <w:rsid w:val="00AA45F6"/>
    <w:rsid w:val="00AA61C2"/>
    <w:rsid w:val="00AA627D"/>
    <w:rsid w:val="00AA69BE"/>
    <w:rsid w:val="00AA7C40"/>
    <w:rsid w:val="00AB090A"/>
    <w:rsid w:val="00AB0F8B"/>
    <w:rsid w:val="00AB1F56"/>
    <w:rsid w:val="00AB1F7F"/>
    <w:rsid w:val="00AB2F79"/>
    <w:rsid w:val="00AB4CD9"/>
    <w:rsid w:val="00AB4FED"/>
    <w:rsid w:val="00AB51EB"/>
    <w:rsid w:val="00AB54D0"/>
    <w:rsid w:val="00AB5EAA"/>
    <w:rsid w:val="00AB5FAE"/>
    <w:rsid w:val="00AC1586"/>
    <w:rsid w:val="00AC1F0D"/>
    <w:rsid w:val="00AC47C2"/>
    <w:rsid w:val="00AC5143"/>
    <w:rsid w:val="00AC60AE"/>
    <w:rsid w:val="00AC683A"/>
    <w:rsid w:val="00AC6A60"/>
    <w:rsid w:val="00AC74AA"/>
    <w:rsid w:val="00AC7511"/>
    <w:rsid w:val="00AD093E"/>
    <w:rsid w:val="00AD0C9E"/>
    <w:rsid w:val="00AD109F"/>
    <w:rsid w:val="00AD2598"/>
    <w:rsid w:val="00AD2DB3"/>
    <w:rsid w:val="00AD3299"/>
    <w:rsid w:val="00AD47B6"/>
    <w:rsid w:val="00AD67E8"/>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5A65"/>
    <w:rsid w:val="00AF5AB7"/>
    <w:rsid w:val="00AF5C06"/>
    <w:rsid w:val="00AF63BB"/>
    <w:rsid w:val="00AF67EB"/>
    <w:rsid w:val="00AF697A"/>
    <w:rsid w:val="00AF72BE"/>
    <w:rsid w:val="00AF7EE3"/>
    <w:rsid w:val="00B00917"/>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339"/>
    <w:rsid w:val="00B140A8"/>
    <w:rsid w:val="00B15AB0"/>
    <w:rsid w:val="00B16EF3"/>
    <w:rsid w:val="00B2004C"/>
    <w:rsid w:val="00B20411"/>
    <w:rsid w:val="00B20B6A"/>
    <w:rsid w:val="00B20C21"/>
    <w:rsid w:val="00B21D78"/>
    <w:rsid w:val="00B22254"/>
    <w:rsid w:val="00B23557"/>
    <w:rsid w:val="00B23BF2"/>
    <w:rsid w:val="00B23D9F"/>
    <w:rsid w:val="00B24141"/>
    <w:rsid w:val="00B2416D"/>
    <w:rsid w:val="00B24CEA"/>
    <w:rsid w:val="00B26539"/>
    <w:rsid w:val="00B2741F"/>
    <w:rsid w:val="00B2779A"/>
    <w:rsid w:val="00B278F5"/>
    <w:rsid w:val="00B27AAF"/>
    <w:rsid w:val="00B27ABF"/>
    <w:rsid w:val="00B307ED"/>
    <w:rsid w:val="00B30DA1"/>
    <w:rsid w:val="00B310AE"/>
    <w:rsid w:val="00B311C6"/>
    <w:rsid w:val="00B3221F"/>
    <w:rsid w:val="00B34A65"/>
    <w:rsid w:val="00B34E56"/>
    <w:rsid w:val="00B36379"/>
    <w:rsid w:val="00B40BE5"/>
    <w:rsid w:val="00B40CB4"/>
    <w:rsid w:val="00B415F3"/>
    <w:rsid w:val="00B4208C"/>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883"/>
    <w:rsid w:val="00B55D9D"/>
    <w:rsid w:val="00B562DB"/>
    <w:rsid w:val="00B56D75"/>
    <w:rsid w:val="00B608AB"/>
    <w:rsid w:val="00B61A25"/>
    <w:rsid w:val="00B63FEC"/>
    <w:rsid w:val="00B648FE"/>
    <w:rsid w:val="00B64A21"/>
    <w:rsid w:val="00B6506F"/>
    <w:rsid w:val="00B65180"/>
    <w:rsid w:val="00B65380"/>
    <w:rsid w:val="00B65AF5"/>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927"/>
    <w:rsid w:val="00B76606"/>
    <w:rsid w:val="00B76A9F"/>
    <w:rsid w:val="00B76DC1"/>
    <w:rsid w:val="00B800F9"/>
    <w:rsid w:val="00B809F2"/>
    <w:rsid w:val="00B811D5"/>
    <w:rsid w:val="00B81344"/>
    <w:rsid w:val="00B82C1F"/>
    <w:rsid w:val="00B83875"/>
    <w:rsid w:val="00B8507E"/>
    <w:rsid w:val="00B86009"/>
    <w:rsid w:val="00B863F2"/>
    <w:rsid w:val="00B86794"/>
    <w:rsid w:val="00B87B5D"/>
    <w:rsid w:val="00B87F8B"/>
    <w:rsid w:val="00B9052F"/>
    <w:rsid w:val="00B913C4"/>
    <w:rsid w:val="00B92560"/>
    <w:rsid w:val="00B92DEA"/>
    <w:rsid w:val="00B94863"/>
    <w:rsid w:val="00B951E5"/>
    <w:rsid w:val="00B971C6"/>
    <w:rsid w:val="00B97A5F"/>
    <w:rsid w:val="00BA0293"/>
    <w:rsid w:val="00BA099B"/>
    <w:rsid w:val="00BA0C68"/>
    <w:rsid w:val="00BA1027"/>
    <w:rsid w:val="00BA1109"/>
    <w:rsid w:val="00BA1446"/>
    <w:rsid w:val="00BA16C9"/>
    <w:rsid w:val="00BA230E"/>
    <w:rsid w:val="00BA2B8F"/>
    <w:rsid w:val="00BA46D9"/>
    <w:rsid w:val="00BA57D8"/>
    <w:rsid w:val="00BA6274"/>
    <w:rsid w:val="00BA66B9"/>
    <w:rsid w:val="00BB0237"/>
    <w:rsid w:val="00BB1A58"/>
    <w:rsid w:val="00BB219B"/>
    <w:rsid w:val="00BB261F"/>
    <w:rsid w:val="00BB36ED"/>
    <w:rsid w:val="00BB456F"/>
    <w:rsid w:val="00BB66F2"/>
    <w:rsid w:val="00BB68B5"/>
    <w:rsid w:val="00BB78D8"/>
    <w:rsid w:val="00BB7944"/>
    <w:rsid w:val="00BB7C3A"/>
    <w:rsid w:val="00BC034A"/>
    <w:rsid w:val="00BC0503"/>
    <w:rsid w:val="00BC0514"/>
    <w:rsid w:val="00BC11B5"/>
    <w:rsid w:val="00BC1541"/>
    <w:rsid w:val="00BC16B8"/>
    <w:rsid w:val="00BC16F6"/>
    <w:rsid w:val="00BC1C84"/>
    <w:rsid w:val="00BC208E"/>
    <w:rsid w:val="00BC2301"/>
    <w:rsid w:val="00BC254C"/>
    <w:rsid w:val="00BC43B9"/>
    <w:rsid w:val="00BC48C0"/>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7"/>
    <w:rsid w:val="00BE0AFA"/>
    <w:rsid w:val="00BE10C6"/>
    <w:rsid w:val="00BE130B"/>
    <w:rsid w:val="00BE1F2B"/>
    <w:rsid w:val="00BE2741"/>
    <w:rsid w:val="00BE2C9A"/>
    <w:rsid w:val="00BE2D43"/>
    <w:rsid w:val="00BE39A1"/>
    <w:rsid w:val="00BE49A6"/>
    <w:rsid w:val="00BE4ABF"/>
    <w:rsid w:val="00BE4CF0"/>
    <w:rsid w:val="00BE613C"/>
    <w:rsid w:val="00BE7172"/>
    <w:rsid w:val="00BE778B"/>
    <w:rsid w:val="00BF011B"/>
    <w:rsid w:val="00BF1CFC"/>
    <w:rsid w:val="00BF1FE6"/>
    <w:rsid w:val="00BF3434"/>
    <w:rsid w:val="00BF3C44"/>
    <w:rsid w:val="00BF3C8F"/>
    <w:rsid w:val="00BF5596"/>
    <w:rsid w:val="00BF5F21"/>
    <w:rsid w:val="00BF72F5"/>
    <w:rsid w:val="00BF751B"/>
    <w:rsid w:val="00BF7689"/>
    <w:rsid w:val="00C00E8F"/>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75CC"/>
    <w:rsid w:val="00C17C51"/>
    <w:rsid w:val="00C201F7"/>
    <w:rsid w:val="00C20E83"/>
    <w:rsid w:val="00C222CE"/>
    <w:rsid w:val="00C22F5F"/>
    <w:rsid w:val="00C23855"/>
    <w:rsid w:val="00C25AA0"/>
    <w:rsid w:val="00C25C4C"/>
    <w:rsid w:val="00C25E5F"/>
    <w:rsid w:val="00C263D7"/>
    <w:rsid w:val="00C271A7"/>
    <w:rsid w:val="00C27293"/>
    <w:rsid w:val="00C276FA"/>
    <w:rsid w:val="00C27701"/>
    <w:rsid w:val="00C27B81"/>
    <w:rsid w:val="00C3098D"/>
    <w:rsid w:val="00C30ED7"/>
    <w:rsid w:val="00C32604"/>
    <w:rsid w:val="00C3267D"/>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60B3"/>
    <w:rsid w:val="00C46319"/>
    <w:rsid w:val="00C465D1"/>
    <w:rsid w:val="00C466B7"/>
    <w:rsid w:val="00C475F4"/>
    <w:rsid w:val="00C509A0"/>
    <w:rsid w:val="00C50B00"/>
    <w:rsid w:val="00C50D5B"/>
    <w:rsid w:val="00C51513"/>
    <w:rsid w:val="00C51753"/>
    <w:rsid w:val="00C52E4A"/>
    <w:rsid w:val="00C53C86"/>
    <w:rsid w:val="00C54E0D"/>
    <w:rsid w:val="00C54F77"/>
    <w:rsid w:val="00C55A12"/>
    <w:rsid w:val="00C55BE1"/>
    <w:rsid w:val="00C560B0"/>
    <w:rsid w:val="00C562A1"/>
    <w:rsid w:val="00C5655B"/>
    <w:rsid w:val="00C56724"/>
    <w:rsid w:val="00C5696F"/>
    <w:rsid w:val="00C57B9B"/>
    <w:rsid w:val="00C60EEF"/>
    <w:rsid w:val="00C62422"/>
    <w:rsid w:val="00C63B24"/>
    <w:rsid w:val="00C64D54"/>
    <w:rsid w:val="00C657D4"/>
    <w:rsid w:val="00C65AD0"/>
    <w:rsid w:val="00C65C4B"/>
    <w:rsid w:val="00C66DAD"/>
    <w:rsid w:val="00C674CD"/>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5B40"/>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7193"/>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5FD2"/>
    <w:rsid w:val="00CC6517"/>
    <w:rsid w:val="00CC6AD0"/>
    <w:rsid w:val="00CC7292"/>
    <w:rsid w:val="00CC7ADF"/>
    <w:rsid w:val="00CD1996"/>
    <w:rsid w:val="00CD2447"/>
    <w:rsid w:val="00CD2F82"/>
    <w:rsid w:val="00CD312A"/>
    <w:rsid w:val="00CD56F0"/>
    <w:rsid w:val="00CD77FD"/>
    <w:rsid w:val="00CD7F61"/>
    <w:rsid w:val="00CE0DD6"/>
    <w:rsid w:val="00CE0E7A"/>
    <w:rsid w:val="00CE0EBF"/>
    <w:rsid w:val="00CE1EA8"/>
    <w:rsid w:val="00CE3A00"/>
    <w:rsid w:val="00CE4371"/>
    <w:rsid w:val="00CE5179"/>
    <w:rsid w:val="00CE64CE"/>
    <w:rsid w:val="00CE6ADD"/>
    <w:rsid w:val="00CE6B07"/>
    <w:rsid w:val="00CE7A4C"/>
    <w:rsid w:val="00CF0345"/>
    <w:rsid w:val="00CF0DCD"/>
    <w:rsid w:val="00CF1215"/>
    <w:rsid w:val="00CF152E"/>
    <w:rsid w:val="00CF156A"/>
    <w:rsid w:val="00CF1D42"/>
    <w:rsid w:val="00CF265D"/>
    <w:rsid w:val="00CF461C"/>
    <w:rsid w:val="00CF51D4"/>
    <w:rsid w:val="00CF545E"/>
    <w:rsid w:val="00CF57A3"/>
    <w:rsid w:val="00CF74F5"/>
    <w:rsid w:val="00CF7791"/>
    <w:rsid w:val="00D00726"/>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5480"/>
    <w:rsid w:val="00D16427"/>
    <w:rsid w:val="00D1659A"/>
    <w:rsid w:val="00D1730D"/>
    <w:rsid w:val="00D17CAB"/>
    <w:rsid w:val="00D21E02"/>
    <w:rsid w:val="00D2360E"/>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3CBA"/>
    <w:rsid w:val="00D44348"/>
    <w:rsid w:val="00D443A3"/>
    <w:rsid w:val="00D44553"/>
    <w:rsid w:val="00D44598"/>
    <w:rsid w:val="00D46064"/>
    <w:rsid w:val="00D467FF"/>
    <w:rsid w:val="00D50334"/>
    <w:rsid w:val="00D506B3"/>
    <w:rsid w:val="00D5100B"/>
    <w:rsid w:val="00D51503"/>
    <w:rsid w:val="00D518B2"/>
    <w:rsid w:val="00D51FCA"/>
    <w:rsid w:val="00D528C0"/>
    <w:rsid w:val="00D52F46"/>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2327"/>
    <w:rsid w:val="00D72B03"/>
    <w:rsid w:val="00D73CF1"/>
    <w:rsid w:val="00D7423A"/>
    <w:rsid w:val="00D74275"/>
    <w:rsid w:val="00D76073"/>
    <w:rsid w:val="00D8277B"/>
    <w:rsid w:val="00D82B2C"/>
    <w:rsid w:val="00D842BA"/>
    <w:rsid w:val="00D84884"/>
    <w:rsid w:val="00D859E3"/>
    <w:rsid w:val="00D8605F"/>
    <w:rsid w:val="00D87293"/>
    <w:rsid w:val="00D9035D"/>
    <w:rsid w:val="00D9079F"/>
    <w:rsid w:val="00D90A2B"/>
    <w:rsid w:val="00D913B0"/>
    <w:rsid w:val="00D91586"/>
    <w:rsid w:val="00D91591"/>
    <w:rsid w:val="00D91AB7"/>
    <w:rsid w:val="00D94036"/>
    <w:rsid w:val="00D94145"/>
    <w:rsid w:val="00D95A92"/>
    <w:rsid w:val="00D96147"/>
    <w:rsid w:val="00D97359"/>
    <w:rsid w:val="00D9748C"/>
    <w:rsid w:val="00D97509"/>
    <w:rsid w:val="00D97FA7"/>
    <w:rsid w:val="00DA0B91"/>
    <w:rsid w:val="00DA0DD3"/>
    <w:rsid w:val="00DA0FE7"/>
    <w:rsid w:val="00DA16BC"/>
    <w:rsid w:val="00DA1AD3"/>
    <w:rsid w:val="00DA1ED0"/>
    <w:rsid w:val="00DA20F4"/>
    <w:rsid w:val="00DA22F2"/>
    <w:rsid w:val="00DA2AC9"/>
    <w:rsid w:val="00DA2BBC"/>
    <w:rsid w:val="00DA347E"/>
    <w:rsid w:val="00DA54C5"/>
    <w:rsid w:val="00DA7237"/>
    <w:rsid w:val="00DB1554"/>
    <w:rsid w:val="00DB1CEA"/>
    <w:rsid w:val="00DB1D18"/>
    <w:rsid w:val="00DB2AE3"/>
    <w:rsid w:val="00DB3005"/>
    <w:rsid w:val="00DB4D4C"/>
    <w:rsid w:val="00DB4D5D"/>
    <w:rsid w:val="00DB50E1"/>
    <w:rsid w:val="00DB521B"/>
    <w:rsid w:val="00DB5700"/>
    <w:rsid w:val="00DB6308"/>
    <w:rsid w:val="00DB63F1"/>
    <w:rsid w:val="00DB6598"/>
    <w:rsid w:val="00DB6650"/>
    <w:rsid w:val="00DB6C2C"/>
    <w:rsid w:val="00DB6C9E"/>
    <w:rsid w:val="00DC003F"/>
    <w:rsid w:val="00DC04F5"/>
    <w:rsid w:val="00DC09B5"/>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DF"/>
    <w:rsid w:val="00DD3BB8"/>
    <w:rsid w:val="00DD3CC2"/>
    <w:rsid w:val="00DD4708"/>
    <w:rsid w:val="00DD4B83"/>
    <w:rsid w:val="00DD5480"/>
    <w:rsid w:val="00DD6C05"/>
    <w:rsid w:val="00DE0182"/>
    <w:rsid w:val="00DE0B7C"/>
    <w:rsid w:val="00DE107E"/>
    <w:rsid w:val="00DE11E9"/>
    <w:rsid w:val="00DE231D"/>
    <w:rsid w:val="00DE2814"/>
    <w:rsid w:val="00DE38D9"/>
    <w:rsid w:val="00DE4247"/>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A5F"/>
    <w:rsid w:val="00E010BD"/>
    <w:rsid w:val="00E01EF7"/>
    <w:rsid w:val="00E02932"/>
    <w:rsid w:val="00E03EC8"/>
    <w:rsid w:val="00E0440D"/>
    <w:rsid w:val="00E04E4C"/>
    <w:rsid w:val="00E05703"/>
    <w:rsid w:val="00E05A34"/>
    <w:rsid w:val="00E07464"/>
    <w:rsid w:val="00E101E2"/>
    <w:rsid w:val="00E107DD"/>
    <w:rsid w:val="00E1139E"/>
    <w:rsid w:val="00E12F77"/>
    <w:rsid w:val="00E12FDE"/>
    <w:rsid w:val="00E13FC3"/>
    <w:rsid w:val="00E14BDB"/>
    <w:rsid w:val="00E14DF7"/>
    <w:rsid w:val="00E200B8"/>
    <w:rsid w:val="00E20BBA"/>
    <w:rsid w:val="00E210AE"/>
    <w:rsid w:val="00E217FA"/>
    <w:rsid w:val="00E2343C"/>
    <w:rsid w:val="00E2343E"/>
    <w:rsid w:val="00E23A12"/>
    <w:rsid w:val="00E23BD3"/>
    <w:rsid w:val="00E247C3"/>
    <w:rsid w:val="00E2549C"/>
    <w:rsid w:val="00E25BF8"/>
    <w:rsid w:val="00E26031"/>
    <w:rsid w:val="00E263B6"/>
    <w:rsid w:val="00E3116F"/>
    <w:rsid w:val="00E31BB7"/>
    <w:rsid w:val="00E3272D"/>
    <w:rsid w:val="00E32E30"/>
    <w:rsid w:val="00E3420A"/>
    <w:rsid w:val="00E350A2"/>
    <w:rsid w:val="00E353E1"/>
    <w:rsid w:val="00E36474"/>
    <w:rsid w:val="00E37072"/>
    <w:rsid w:val="00E37E86"/>
    <w:rsid w:val="00E40768"/>
    <w:rsid w:val="00E418B6"/>
    <w:rsid w:val="00E43945"/>
    <w:rsid w:val="00E440A1"/>
    <w:rsid w:val="00E441AA"/>
    <w:rsid w:val="00E456BE"/>
    <w:rsid w:val="00E46136"/>
    <w:rsid w:val="00E46C3D"/>
    <w:rsid w:val="00E47B41"/>
    <w:rsid w:val="00E50472"/>
    <w:rsid w:val="00E50893"/>
    <w:rsid w:val="00E51A06"/>
    <w:rsid w:val="00E51D44"/>
    <w:rsid w:val="00E52572"/>
    <w:rsid w:val="00E538C0"/>
    <w:rsid w:val="00E53F67"/>
    <w:rsid w:val="00E54079"/>
    <w:rsid w:val="00E54896"/>
    <w:rsid w:val="00E558B4"/>
    <w:rsid w:val="00E55BCC"/>
    <w:rsid w:val="00E55C5F"/>
    <w:rsid w:val="00E56552"/>
    <w:rsid w:val="00E606AC"/>
    <w:rsid w:val="00E61C7F"/>
    <w:rsid w:val="00E62672"/>
    <w:rsid w:val="00E639B4"/>
    <w:rsid w:val="00E63B4B"/>
    <w:rsid w:val="00E64233"/>
    <w:rsid w:val="00E655CE"/>
    <w:rsid w:val="00E65B82"/>
    <w:rsid w:val="00E673E9"/>
    <w:rsid w:val="00E67B5F"/>
    <w:rsid w:val="00E70D3E"/>
    <w:rsid w:val="00E71F7A"/>
    <w:rsid w:val="00E72E45"/>
    <w:rsid w:val="00E742E0"/>
    <w:rsid w:val="00E74823"/>
    <w:rsid w:val="00E7498E"/>
    <w:rsid w:val="00E755CE"/>
    <w:rsid w:val="00E7618A"/>
    <w:rsid w:val="00E76659"/>
    <w:rsid w:val="00E76CA0"/>
    <w:rsid w:val="00E77097"/>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C58"/>
    <w:rsid w:val="00EA7294"/>
    <w:rsid w:val="00EB0473"/>
    <w:rsid w:val="00EB0AA0"/>
    <w:rsid w:val="00EB28A8"/>
    <w:rsid w:val="00EB2B42"/>
    <w:rsid w:val="00EB3A29"/>
    <w:rsid w:val="00EB3A58"/>
    <w:rsid w:val="00EB4D4C"/>
    <w:rsid w:val="00EB5A2C"/>
    <w:rsid w:val="00EB7825"/>
    <w:rsid w:val="00EC2F63"/>
    <w:rsid w:val="00EC30E7"/>
    <w:rsid w:val="00EC3491"/>
    <w:rsid w:val="00EC39D7"/>
    <w:rsid w:val="00EC5C3C"/>
    <w:rsid w:val="00EC6793"/>
    <w:rsid w:val="00EC6D07"/>
    <w:rsid w:val="00EC7016"/>
    <w:rsid w:val="00EC7671"/>
    <w:rsid w:val="00ED023F"/>
    <w:rsid w:val="00ED0A11"/>
    <w:rsid w:val="00ED23CC"/>
    <w:rsid w:val="00ED2653"/>
    <w:rsid w:val="00ED2F28"/>
    <w:rsid w:val="00ED4632"/>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3062"/>
    <w:rsid w:val="00EF5A3C"/>
    <w:rsid w:val="00EF6139"/>
    <w:rsid w:val="00EF62A1"/>
    <w:rsid w:val="00EF6467"/>
    <w:rsid w:val="00EF661C"/>
    <w:rsid w:val="00EF6CC3"/>
    <w:rsid w:val="00EF76AC"/>
    <w:rsid w:val="00EF784A"/>
    <w:rsid w:val="00F0020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304B"/>
    <w:rsid w:val="00F133F4"/>
    <w:rsid w:val="00F20DDD"/>
    <w:rsid w:val="00F22078"/>
    <w:rsid w:val="00F22740"/>
    <w:rsid w:val="00F22846"/>
    <w:rsid w:val="00F22A38"/>
    <w:rsid w:val="00F230EC"/>
    <w:rsid w:val="00F24335"/>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6077E"/>
    <w:rsid w:val="00F61D2D"/>
    <w:rsid w:val="00F62109"/>
    <w:rsid w:val="00F63894"/>
    <w:rsid w:val="00F64008"/>
    <w:rsid w:val="00F64AEA"/>
    <w:rsid w:val="00F64F89"/>
    <w:rsid w:val="00F65F3F"/>
    <w:rsid w:val="00F67276"/>
    <w:rsid w:val="00F67D7A"/>
    <w:rsid w:val="00F70907"/>
    <w:rsid w:val="00F70DAD"/>
    <w:rsid w:val="00F710AE"/>
    <w:rsid w:val="00F72B0F"/>
    <w:rsid w:val="00F73A24"/>
    <w:rsid w:val="00F741D1"/>
    <w:rsid w:val="00F744BA"/>
    <w:rsid w:val="00F752C2"/>
    <w:rsid w:val="00F763B8"/>
    <w:rsid w:val="00F7687B"/>
    <w:rsid w:val="00F77A78"/>
    <w:rsid w:val="00F801B5"/>
    <w:rsid w:val="00F81BF9"/>
    <w:rsid w:val="00F8222E"/>
    <w:rsid w:val="00F82AE9"/>
    <w:rsid w:val="00F82B88"/>
    <w:rsid w:val="00F85DA9"/>
    <w:rsid w:val="00F86040"/>
    <w:rsid w:val="00F86E05"/>
    <w:rsid w:val="00F90325"/>
    <w:rsid w:val="00F93370"/>
    <w:rsid w:val="00F93701"/>
    <w:rsid w:val="00F944C6"/>
    <w:rsid w:val="00F95160"/>
    <w:rsid w:val="00F965AB"/>
    <w:rsid w:val="00F97BBC"/>
    <w:rsid w:val="00FA0371"/>
    <w:rsid w:val="00FA06EA"/>
    <w:rsid w:val="00FA16D9"/>
    <w:rsid w:val="00FA1935"/>
    <w:rsid w:val="00FA1A8D"/>
    <w:rsid w:val="00FA1F98"/>
    <w:rsid w:val="00FA2956"/>
    <w:rsid w:val="00FA37D3"/>
    <w:rsid w:val="00FA390E"/>
    <w:rsid w:val="00FA3D27"/>
    <w:rsid w:val="00FA7B68"/>
    <w:rsid w:val="00FB0752"/>
    <w:rsid w:val="00FB1617"/>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39EE"/>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15E7"/>
    <w:rsid w:val="00FF1B74"/>
    <w:rsid w:val="00FF2536"/>
    <w:rsid w:val="00FF2686"/>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semiHidden/>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semiHidden/>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0" ma:contentTypeDescription="Create a new document." ma:contentTypeScope="" ma:versionID="ddb97c00facfe810765aaa0cbb06487b">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438fa0a0c35e38fecfbe786811ed0774"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ed5d80-5be2-462c-bec3-14caa38b63ef">
      <Terms xmlns="http://schemas.microsoft.com/office/infopath/2007/PartnerControls"/>
    </lcf76f155ced4ddcb4097134ff3c332f>
    <TaxCatchAll xmlns="d34886c6-c96d-4e06-9b0f-8bf2e5627e94" xsi:nil="true"/>
  </documentManagement>
</p:properties>
</file>

<file path=customXml/itemProps1.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2.xml><?xml version="1.0" encoding="utf-8"?>
<ds:datastoreItem xmlns:ds="http://schemas.openxmlformats.org/officeDocument/2006/customXml" ds:itemID="{ECA6DE63-1246-49CF-ADD5-9F14D042C7EA}"/>
</file>

<file path=customXml/itemProps3.xml><?xml version="1.0" encoding="utf-8"?>
<ds:datastoreItem xmlns:ds="http://schemas.openxmlformats.org/officeDocument/2006/customXml" ds:itemID="{23318C5E-F377-4601-B368-E1F49B30C0EE}"/>
</file>

<file path=customXml/itemProps4.xml><?xml version="1.0" encoding="utf-8"?>
<ds:datastoreItem xmlns:ds="http://schemas.openxmlformats.org/officeDocument/2006/customXml" ds:itemID="{CFEC7535-EEFA-48B2-B4A4-8F7C3B105FAA}"/>
</file>

<file path=docProps/app.xml><?xml version="1.0" encoding="utf-8"?>
<Properties xmlns="http://schemas.openxmlformats.org/officeDocument/2006/extended-properties" xmlns:vt="http://schemas.openxmlformats.org/officeDocument/2006/docPropsVTypes">
  <Template>Normal</Template>
  <TotalTime>2</TotalTime>
  <Pages>14</Pages>
  <Words>3278</Words>
  <Characters>18691</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Tracy Brown</cp:lastModifiedBy>
  <cp:revision>2</cp:revision>
  <cp:lastPrinted>2019-09-12T06:02:00Z</cp:lastPrinted>
  <dcterms:created xsi:type="dcterms:W3CDTF">2025-09-17T02:29:00Z</dcterms:created>
  <dcterms:modified xsi:type="dcterms:W3CDTF">2025-09-17T02:29:00Z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ies>
</file>